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sz w:val="36"/>
          <w:szCs w:val="36"/>
        </w:rPr>
        <w:t>清源创新实验室等规度仪需求调研情况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一、仪器设备使用的项目</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福建化学工程科学与技术创新实验室(清源创新实验室)小中试基地拟购置等规度仪，主要用于测定有规异构体占全部高分子百分数的设备，等规度常用来表示催化剂在聚合反应中的定向能力，是评价聚丙烯产品性能的重要参数之一，等规度仪广泛应用于石油化工、精细化工等相关领域。该设备能满足清源创新实验室小中试基地装置产品生产与质量改进提升的需求，同时可为清源创新实验室其他科研团队提供公共检测服务，促进平台建设及人才培养。所以清源创新实验室小中试基地申请购置一台主要服务于清源创新实验室小中试基地、以测试为主、性能指标能够满足科研和产业化需要、精确度高、性能稳定可靠的等规度仪。</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二、在该项目中所承担的任务</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等规度仪是测量聚丙烯产品等规度的重要分析仪器，所得到的等规度指数是衡量聚丙烯产品的重要参数之一。该仪器是石油化工研究的必备仪器，同时可为清源创新实验室其他相关科研项目提供检测服务。因此该设备可为本单位各研究方向使用，特别是石油化工领域。该设备的引入，有利于促进清源创新实验室小中试基地在石油化工等领域的研发工作，提升科研分析方面的水平，提高科研人员的综合知识和创新能力。</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三、国内外同类项目所用的仪器设备及优缺点对比</w:t>
      </w:r>
    </w:p>
    <w:tbl>
      <w:tblPr>
        <w:tblStyle w:val="6"/>
        <w:tblW w:w="10206" w:type="dxa"/>
        <w:jc w:val="center"/>
        <w:tblLayout w:type="autofit"/>
        <w:tblCellMar>
          <w:top w:w="0" w:type="dxa"/>
          <w:left w:w="108" w:type="dxa"/>
          <w:bottom w:w="0" w:type="dxa"/>
          <w:right w:w="108" w:type="dxa"/>
        </w:tblCellMar>
      </w:tblPr>
      <w:tblGrid>
        <w:gridCol w:w="786"/>
        <w:gridCol w:w="1091"/>
        <w:gridCol w:w="2911"/>
        <w:gridCol w:w="2559"/>
        <w:gridCol w:w="2859"/>
      </w:tblGrid>
      <w:tr>
        <w:tblPrEx>
          <w:tblCellMar>
            <w:top w:w="0" w:type="dxa"/>
            <w:left w:w="108" w:type="dxa"/>
            <w:bottom w:w="0" w:type="dxa"/>
            <w:right w:w="108" w:type="dxa"/>
          </w:tblCellMar>
        </w:tblPrEx>
        <w:trPr>
          <w:trHeight w:val="279"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仪器</w:t>
            </w:r>
          </w:p>
        </w:tc>
        <w:tc>
          <w:tcPr>
            <w:tcW w:w="125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sz w:val="24"/>
              </w:rPr>
            </w:pPr>
            <w:r>
              <w:rPr>
                <w:rFonts w:hint="eastAsia" w:ascii="仿宋_GB2312" w:eastAsia="仿宋_GB2312"/>
                <w:b/>
                <w:bCs/>
                <w:sz w:val="24"/>
              </w:rPr>
              <w:t>项目</w:t>
            </w:r>
          </w:p>
        </w:tc>
        <w:tc>
          <w:tcPr>
            <w:tcW w:w="32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sz w:val="24"/>
              </w:rPr>
            </w:pPr>
            <w:r>
              <w:rPr>
                <w:rFonts w:ascii="仿宋_GB2312" w:eastAsia="仿宋_GB2312"/>
                <w:b/>
                <w:bCs/>
                <w:sz w:val="24"/>
              </w:rPr>
              <w:t>E-800</w:t>
            </w:r>
          </w:p>
        </w:tc>
        <w:tc>
          <w:tcPr>
            <w:tcW w:w="28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sz w:val="24"/>
              </w:rPr>
            </w:pPr>
            <w:r>
              <w:rPr>
                <w:rFonts w:ascii="仿宋_GB2312" w:eastAsia="仿宋_GB2312"/>
                <w:b/>
                <w:bCs/>
                <w:sz w:val="24"/>
              </w:rPr>
              <w:t>SX-36060</w:t>
            </w:r>
          </w:p>
        </w:tc>
        <w:tc>
          <w:tcPr>
            <w:tcW w:w="33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sz w:val="24"/>
              </w:rPr>
            </w:pPr>
            <w:r>
              <w:rPr>
                <w:rFonts w:ascii="仿宋_GB2312" w:eastAsia="仿宋_GB2312"/>
                <w:b/>
                <w:bCs/>
                <w:sz w:val="24"/>
              </w:rPr>
              <w:t>FT-660</w:t>
            </w:r>
          </w:p>
        </w:tc>
      </w:tr>
      <w:tr>
        <w:tblPrEx>
          <w:tblCellMar>
            <w:top w:w="0" w:type="dxa"/>
            <w:left w:w="108" w:type="dxa"/>
            <w:bottom w:w="0" w:type="dxa"/>
            <w:right w:w="108" w:type="dxa"/>
          </w:tblCellMar>
        </w:tblPrEx>
        <w:trPr>
          <w:trHeight w:val="1215" w:hRule="atLeast"/>
          <w:jc w:val="center"/>
        </w:trPr>
        <w:tc>
          <w:tcPr>
            <w:tcW w:w="87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hint="eastAsia" w:ascii="仿宋_GB2312" w:eastAsia="仿宋_GB2312"/>
                <w:b/>
                <w:bCs/>
                <w:sz w:val="24"/>
              </w:rPr>
            </w:pPr>
          </w:p>
          <w:p>
            <w:pPr>
              <w:jc w:val="center"/>
              <w:rPr>
                <w:rFonts w:ascii="仿宋_GB2312" w:eastAsia="仿宋_GB2312"/>
                <w:b/>
                <w:bCs/>
                <w:sz w:val="24"/>
              </w:rPr>
            </w:pPr>
            <w:r>
              <w:rPr>
                <w:rFonts w:hint="eastAsia" w:ascii="仿宋_GB2312" w:eastAsia="仿宋_GB2312"/>
                <w:b/>
                <w:bCs/>
                <w:sz w:val="24"/>
              </w:rPr>
              <w:t>等规度仪</w:t>
            </w: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可同时萃取的样品数</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同时最多6个样品通道，也可只启动其中1个，且每个通道可实现单独的预设程序进行控制，6个通道可同时运行不同的萃取程序/模式，可使用不同的萃取溶剂</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每批同时处理6个样品，无法单独启动</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ascii="仿宋_GB2312" w:eastAsia="仿宋_GB2312"/>
                <w:sz w:val="24"/>
              </w:rPr>
              <w:t>6</w:t>
            </w:r>
            <w:r>
              <w:rPr>
                <w:rFonts w:hint="eastAsia" w:ascii="仿宋_GB2312" w:eastAsia="仿宋_GB2312"/>
                <w:sz w:val="24"/>
              </w:rPr>
              <w:t>个</w:t>
            </w:r>
          </w:p>
        </w:tc>
      </w:tr>
      <w:tr>
        <w:tblPrEx>
          <w:tblCellMar>
            <w:top w:w="0" w:type="dxa"/>
            <w:left w:w="108" w:type="dxa"/>
            <w:bottom w:w="0" w:type="dxa"/>
            <w:right w:w="108" w:type="dxa"/>
          </w:tblCellMar>
        </w:tblPrEx>
        <w:trPr>
          <w:trHeight w:val="279"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萃取过程</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萃取、淋洗、干燥</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快速（表述不合理）</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萃取、淋洗</w:t>
            </w:r>
          </w:p>
        </w:tc>
      </w:tr>
      <w:tr>
        <w:tblPrEx>
          <w:tblCellMar>
            <w:top w:w="0" w:type="dxa"/>
            <w:left w:w="108" w:type="dxa"/>
            <w:bottom w:w="0" w:type="dxa"/>
            <w:right w:w="108" w:type="dxa"/>
          </w:tblCellMar>
        </w:tblPrEx>
        <w:trPr>
          <w:trHeight w:val="761"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b/>
                <w:bCs/>
                <w:sz w:val="24"/>
              </w:rPr>
            </w:pPr>
            <w:r>
              <w:rPr>
                <w:rFonts w:hint="eastAsia"/>
                <w:b/>
                <w:bCs/>
                <w:sz w:val="24"/>
              </w:rPr>
              <w:t>溶剂回收率</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法兰Z-密封系统，密封性良好，极大降低溶剂损失，溶剂回收率＞90%</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ascii="仿宋_GB2312" w:eastAsia="仿宋_GB2312"/>
                <w:sz w:val="24"/>
              </w:rPr>
              <w:t>90%</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ascii="仿宋_GB2312" w:eastAsia="仿宋_GB2312"/>
                <w:sz w:val="24"/>
              </w:rPr>
              <w:t>85%</w:t>
            </w:r>
          </w:p>
        </w:tc>
      </w:tr>
      <w:tr>
        <w:tblPrEx>
          <w:tblCellMar>
            <w:top w:w="0" w:type="dxa"/>
            <w:left w:w="108" w:type="dxa"/>
            <w:bottom w:w="0" w:type="dxa"/>
            <w:right w:w="108" w:type="dxa"/>
          </w:tblCellMar>
        </w:tblPrEx>
        <w:trPr>
          <w:trHeight w:val="854"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b/>
                <w:bCs/>
                <w:sz w:val="24"/>
              </w:rPr>
            </w:pPr>
            <w:r>
              <w:rPr>
                <w:rFonts w:hint="eastAsia"/>
                <w:b/>
                <w:bCs/>
                <w:sz w:val="24"/>
              </w:rPr>
              <w:t>砂芯样品杯</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有可重复使用的砂芯样品杯，可替代</w:t>
            </w:r>
            <w:bookmarkStart w:id="0" w:name="_GoBack"/>
            <w:bookmarkEnd w:id="0"/>
            <w:r>
              <w:rPr>
                <w:rFonts w:hint="eastAsia" w:ascii="仿宋_GB2312" w:eastAsia="仿宋_GB2312"/>
                <w:sz w:val="24"/>
              </w:rPr>
              <w:t>纸滤筒，节约实验成本</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标准纸筒，砂芯定制</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标准纸筒</w:t>
            </w:r>
          </w:p>
        </w:tc>
      </w:tr>
      <w:tr>
        <w:tblPrEx>
          <w:tblCellMar>
            <w:top w:w="0" w:type="dxa"/>
            <w:left w:w="108" w:type="dxa"/>
            <w:bottom w:w="0" w:type="dxa"/>
            <w:right w:w="108" w:type="dxa"/>
          </w:tblCellMar>
        </w:tblPrEx>
        <w:trPr>
          <w:trHeight w:val="1678"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萃取模式/萃取过程</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标准索氏萃取模式，萃取过程：底部烧杯中的溶剂受热蒸发，被上部的冷凝器冷凝回落到萃取腔中与样品萃取，萃取腔中的溶剂慢慢积累，当达到液位后溶剂回流到底部的烧杯中，完成一次循环，反复多次，直至完成萃取过程，过程可设定萃取时间、循环次数</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全自动（是否需要补充描述）</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萃取模式:经典索氏萃取/索氏热萃取/热萃取连续萃取,萃取步骤:萃取/淋洗/干燥</w:t>
            </w:r>
          </w:p>
        </w:tc>
      </w:tr>
      <w:tr>
        <w:tblPrEx>
          <w:tblCellMar>
            <w:top w:w="0" w:type="dxa"/>
            <w:left w:w="108" w:type="dxa"/>
            <w:bottom w:w="0" w:type="dxa"/>
            <w:right w:w="108" w:type="dxa"/>
          </w:tblCellMar>
        </w:tblPrEx>
        <w:trPr>
          <w:trHeight w:val="1116"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回流液位高低调节功能</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每个通道有独立液位传感器，可根据样品量多少调节液位传感器高低，调节回流时长，优化索氏萃取法的循环时间，以符合标准规定的萃取流程要求</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固定11毫升</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固定值</w:t>
            </w:r>
          </w:p>
        </w:tc>
      </w:tr>
      <w:tr>
        <w:tblPrEx>
          <w:tblCellMar>
            <w:top w:w="0" w:type="dxa"/>
            <w:left w:w="108" w:type="dxa"/>
            <w:bottom w:w="0" w:type="dxa"/>
            <w:right w:w="108" w:type="dxa"/>
          </w:tblCellMar>
        </w:tblPrEx>
        <w:trPr>
          <w:trHeight w:val="558"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溶剂加热器数量</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两个，一个是加热底部溶剂杯，另一个加热样品仓</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整体加热</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6个</w:t>
            </w:r>
          </w:p>
        </w:tc>
      </w:tr>
      <w:tr>
        <w:tblPrEx>
          <w:tblCellMar>
            <w:top w:w="0" w:type="dxa"/>
            <w:left w:w="108" w:type="dxa"/>
            <w:bottom w:w="0" w:type="dxa"/>
            <w:right w:w="108" w:type="dxa"/>
          </w:tblCellMar>
        </w:tblPrEx>
        <w:trPr>
          <w:trHeight w:val="837"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样品仓加热功能</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有。索氏抽提模式下可单独对样品仓中溶剂和样品混合物进行温和加热，促进/加速萃取进程，提高萃取效率</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样品一直加热</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萃取室温度上限100℃、回收杯温度上限300℃</w:t>
            </w:r>
          </w:p>
        </w:tc>
      </w:tr>
      <w:tr>
        <w:tblPrEx>
          <w:tblCellMar>
            <w:top w:w="0" w:type="dxa"/>
            <w:left w:w="108" w:type="dxa"/>
            <w:bottom w:w="0" w:type="dxa"/>
            <w:right w:w="108" w:type="dxa"/>
          </w:tblCellMar>
        </w:tblPrEx>
        <w:trPr>
          <w:trHeight w:val="558"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惰性气体保护功能</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有。6个样品通道都有惰性气体接口，可通入惰性气体</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内置空气泵，惰性气体</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无，基本用不上惰性气体</w:t>
            </w:r>
          </w:p>
        </w:tc>
      </w:tr>
      <w:tr>
        <w:tblPrEx>
          <w:tblCellMar>
            <w:top w:w="0" w:type="dxa"/>
            <w:left w:w="108" w:type="dxa"/>
            <w:bottom w:w="0" w:type="dxa"/>
            <w:right w:w="108" w:type="dxa"/>
          </w:tblCellMar>
        </w:tblPrEx>
        <w:trPr>
          <w:trHeight w:val="558"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分析物保护功能</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保证烧杯中只剩下极少量的溶剂，保护分析物不过热不干烧</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惰性气体</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无</w:t>
            </w:r>
          </w:p>
        </w:tc>
      </w:tr>
      <w:tr>
        <w:tblPrEx>
          <w:tblCellMar>
            <w:top w:w="0" w:type="dxa"/>
            <w:left w:w="108" w:type="dxa"/>
            <w:bottom w:w="0" w:type="dxa"/>
            <w:right w:w="108" w:type="dxa"/>
          </w:tblCellMar>
        </w:tblPrEx>
        <w:trPr>
          <w:trHeight w:val="558"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允许的萃取模式</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标准索氏萃取法、索氏热萃取法、热萃取法、连续萃取法、Twisselmann萃取法</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快速萃取</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经典索氏萃取、索氏热萃取、热萃取、连续萃取</w:t>
            </w:r>
          </w:p>
        </w:tc>
      </w:tr>
      <w:tr>
        <w:tblPrEx>
          <w:tblCellMar>
            <w:top w:w="0" w:type="dxa"/>
            <w:left w:w="108" w:type="dxa"/>
            <w:bottom w:w="0" w:type="dxa"/>
            <w:right w:w="108" w:type="dxa"/>
          </w:tblCellMar>
        </w:tblPrEx>
        <w:trPr>
          <w:trHeight w:val="1529"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防止溶剂爆沸设计</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烧杯底部独特的磨砂设计</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IP65，</w:t>
            </w:r>
            <w:r>
              <w:rPr>
                <w:rFonts w:ascii="仿宋_GB2312" w:eastAsia="仿宋_GB2312"/>
                <w:sz w:val="24"/>
              </w:rPr>
              <w:t> ATEX</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仪器加热温度根据试剂的沸点来设置，仪器控温精准，只要设定温度不超过试剂沸点太多，不会产生爆沸现象。溶剂到达沸点蒸发，顶部冷凝管进行冷凝</w:t>
            </w:r>
          </w:p>
        </w:tc>
      </w:tr>
      <w:tr>
        <w:tblPrEx>
          <w:tblCellMar>
            <w:top w:w="0" w:type="dxa"/>
            <w:left w:w="108" w:type="dxa"/>
            <w:bottom w:w="0" w:type="dxa"/>
            <w:right w:w="108" w:type="dxa"/>
          </w:tblCellMar>
        </w:tblPrEx>
        <w:trPr>
          <w:trHeight w:val="274" w:hRule="atLeast"/>
          <w:jc w:val="center"/>
        </w:trPr>
        <w:tc>
          <w:tcPr>
            <w:tcW w:w="87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b/>
                <w:bCs/>
                <w:sz w:val="24"/>
              </w:rPr>
            </w:pPr>
          </w:p>
        </w:tc>
        <w:tc>
          <w:tcPr>
            <w:tcW w:w="1252" w:type="dxa"/>
            <w:tcBorders>
              <w:top w:val="nil"/>
              <w:left w:val="nil"/>
              <w:bottom w:val="single" w:color="auto" w:sz="4" w:space="0"/>
              <w:right w:val="single" w:color="auto" w:sz="4" w:space="0"/>
            </w:tcBorders>
            <w:shd w:val="clear" w:color="auto" w:fill="auto"/>
            <w:vAlign w:val="center"/>
          </w:tcPr>
          <w:p>
            <w:pPr>
              <w:rPr>
                <w:rFonts w:ascii="仿宋_GB2312" w:eastAsia="仿宋_GB2312"/>
                <w:b/>
                <w:bCs/>
                <w:sz w:val="24"/>
              </w:rPr>
            </w:pPr>
            <w:r>
              <w:rPr>
                <w:rFonts w:hint="eastAsia" w:ascii="仿宋_GB2312" w:eastAsia="仿宋_GB2312"/>
                <w:b/>
                <w:bCs/>
                <w:sz w:val="24"/>
              </w:rPr>
              <w:t>实验过程可视化情况</w:t>
            </w:r>
          </w:p>
        </w:tc>
        <w:tc>
          <w:tcPr>
            <w:tcW w:w="32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整个萃取过程完全可见，玻璃组件可轻松取放和拆卸，便于清洁，可在烘箱高温中烘烤去除污染物</w:t>
            </w:r>
          </w:p>
        </w:tc>
        <w:tc>
          <w:tcPr>
            <w:tcW w:w="283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清晰可见</w:t>
            </w:r>
          </w:p>
        </w:tc>
        <w:tc>
          <w:tcPr>
            <w:tcW w:w="331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实验可视化，格丹纳FT660有透明的视窗，直接就能看到</w:t>
            </w:r>
          </w:p>
        </w:tc>
      </w:tr>
    </w:tbl>
    <w:p>
      <w:pPr>
        <w:snapToGrid w:val="0"/>
        <w:spacing w:line="540" w:lineRule="exact"/>
        <w:jc w:val="left"/>
        <w:rPr>
          <w:rFonts w:ascii="仿宋_GB2312" w:hAnsi="仿宋_GB2312" w:eastAsia="仿宋_GB2312" w:cs="仿宋_GB2312"/>
          <w:b/>
          <w:color w:val="000000"/>
          <w:sz w:val="32"/>
          <w:szCs w:val="32"/>
        </w:rPr>
      </w:pP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四、条件准备情况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实验室具备电（220V单相电源）、通风（排气系统）、实验平台等安装条件。</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五、可能存在的安全性问题</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该设备使用过程无放射物产生，可能产生少量废气、废液可由通风净化系统及废液收集系统处理，不会产生安全性问题。</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pPr>
                            <w:pStyle w:val="12"/>
                            <w:jc w:val="left"/>
                            <w:rPr>
                              <w:sz w:val="18"/>
                              <w:szCs w:val="18"/>
                            </w:rPr>
                          </w:pPr>
                          <w:r>
                            <w:rPr>
                              <w:rFonts w:ascii="Times New Roman" w:hAnsi="Times New Roman" w:eastAsia="Times New Roman" w:cs="Times New Roman"/>
                              <w:color w:val="000000"/>
                              <w:sz w:val="18"/>
                              <w:szCs w:val="18"/>
                            </w:rPr>
                            <w:t>-1 -</w:t>
                          </w:r>
                        </w:p>
                      </w:txbxContent>
                    </wps:txbx>
                    <wps:bodyPr wrap="none" lIns="0" tIns="0" rIns="0" bIns="0">
                      <a:spAutoFit/>
                    </wps:bodyPr>
                  </wps:wsp>
                </a:graphicData>
              </a:graphic>
            </wp:anchor>
          </w:drawing>
        </mc:Choice>
        <mc:Fallback>
          <w:pict>
            <v:shape id="Shape 10" o:spid="_x0000_s1026" o:spt="202" type="#_x0000_t202" style="position:absolute;left:0pt;margin-left:302.3pt;margin-top:804.05pt;height:6.1pt;width:14.75pt;mso-position-horizontal-relative:page;mso-position-vertical-relative:page;mso-wrap-style:none;z-index:-251657216;mso-width-relative:page;mso-height-relative:page;" filled="f" stroked="f" coordsize="21600,21600" o:gfxdata="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L9aJ2AAA&#10;AA0BAAAPAAAAAAAAAAEAIAAAACIAAABkcnMvZG93bnJldi54bWxQSwECFAAUAAAACACHTuJAuqom&#10;dawBAABwAwAADgAAAAAAAAABACAAAAAnAQAAZHJzL2Uyb0RvYy54bWxQSwUGAAAAAAYABgBZAQAA&#10;RQUAAAAA&#10;">
              <v:fill on="f" focussize="0,0"/>
              <v:stroke on="f"/>
              <v:imagedata o:title=""/>
              <o:lock v:ext="edit" aspectratio="f"/>
              <v:textbox inset="0mm,0mm,0mm,0mm" style="mso-fit-shape-to-text:t;">
                <w:txbxContent>
                  <w:p>
                    <w:pPr>
                      <w:pStyle w:val="12"/>
                      <w:jc w:val="left"/>
                      <w:rPr>
                        <w:sz w:val="18"/>
                        <w:szCs w:val="18"/>
                      </w:rPr>
                    </w:pPr>
                    <w:r>
                      <w:rPr>
                        <w:rFonts w:ascii="Times New Roman" w:hAnsi="Times New Roman" w:eastAsia="Times New Roman" w:cs="Times New Roman"/>
                        <w:color w:val="000000"/>
                        <w:sz w:val="18"/>
                        <w:szCs w:val="18"/>
                      </w:rPr>
                      <w:t>-1 -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xYjQ1OGJmOTUwZGU5MWQ2NDE2MTQ2MzA3YzI0NTEifQ=="/>
  </w:docVars>
  <w:rsids>
    <w:rsidRoot w:val="30C84A8F"/>
    <w:rsid w:val="00023212"/>
    <w:rsid w:val="0004008B"/>
    <w:rsid w:val="00052A08"/>
    <w:rsid w:val="000728D9"/>
    <w:rsid w:val="000C2460"/>
    <w:rsid w:val="001D5957"/>
    <w:rsid w:val="001E69EA"/>
    <w:rsid w:val="00235F95"/>
    <w:rsid w:val="00243407"/>
    <w:rsid w:val="00251D48"/>
    <w:rsid w:val="002B1651"/>
    <w:rsid w:val="00310F1E"/>
    <w:rsid w:val="00381E33"/>
    <w:rsid w:val="003858A5"/>
    <w:rsid w:val="003D28C0"/>
    <w:rsid w:val="004E5283"/>
    <w:rsid w:val="00537A86"/>
    <w:rsid w:val="0056754F"/>
    <w:rsid w:val="0059767E"/>
    <w:rsid w:val="005C5897"/>
    <w:rsid w:val="006023DE"/>
    <w:rsid w:val="00665F0A"/>
    <w:rsid w:val="00673B8C"/>
    <w:rsid w:val="006B3B44"/>
    <w:rsid w:val="006D6961"/>
    <w:rsid w:val="006E780B"/>
    <w:rsid w:val="006F7AFC"/>
    <w:rsid w:val="0073091C"/>
    <w:rsid w:val="00730BF5"/>
    <w:rsid w:val="00754D89"/>
    <w:rsid w:val="0082459F"/>
    <w:rsid w:val="008515A1"/>
    <w:rsid w:val="008D2B82"/>
    <w:rsid w:val="008D4F3B"/>
    <w:rsid w:val="008D75FB"/>
    <w:rsid w:val="00915904"/>
    <w:rsid w:val="00983DBE"/>
    <w:rsid w:val="00AE1BDC"/>
    <w:rsid w:val="00AF2930"/>
    <w:rsid w:val="00BC7794"/>
    <w:rsid w:val="00C83FC9"/>
    <w:rsid w:val="00C86860"/>
    <w:rsid w:val="00E377D8"/>
    <w:rsid w:val="00EB7E60"/>
    <w:rsid w:val="00F049B8"/>
    <w:rsid w:val="00FE03E0"/>
    <w:rsid w:val="00FF06A8"/>
    <w:rsid w:val="00FF1C02"/>
    <w:rsid w:val="01EA0E83"/>
    <w:rsid w:val="0301396B"/>
    <w:rsid w:val="05154E61"/>
    <w:rsid w:val="0ACD3951"/>
    <w:rsid w:val="0C2107A9"/>
    <w:rsid w:val="0CF462EF"/>
    <w:rsid w:val="108F4BD1"/>
    <w:rsid w:val="11C95F9C"/>
    <w:rsid w:val="1209283C"/>
    <w:rsid w:val="130628D8"/>
    <w:rsid w:val="14C94C7D"/>
    <w:rsid w:val="15F31BF6"/>
    <w:rsid w:val="1B3773CE"/>
    <w:rsid w:val="1E592455"/>
    <w:rsid w:val="1FBB33A3"/>
    <w:rsid w:val="23201794"/>
    <w:rsid w:val="235F050E"/>
    <w:rsid w:val="240E07A9"/>
    <w:rsid w:val="251D242F"/>
    <w:rsid w:val="257B5FDE"/>
    <w:rsid w:val="25C44658"/>
    <w:rsid w:val="29D46E34"/>
    <w:rsid w:val="2B2160A9"/>
    <w:rsid w:val="2B724B56"/>
    <w:rsid w:val="2C5509C3"/>
    <w:rsid w:val="2E6863BB"/>
    <w:rsid w:val="2E7F7CB6"/>
    <w:rsid w:val="304F04EB"/>
    <w:rsid w:val="30C84A8F"/>
    <w:rsid w:val="33F9446E"/>
    <w:rsid w:val="348009CD"/>
    <w:rsid w:val="3522139B"/>
    <w:rsid w:val="35BA60CE"/>
    <w:rsid w:val="39C33C94"/>
    <w:rsid w:val="3D0535B4"/>
    <w:rsid w:val="40C33A32"/>
    <w:rsid w:val="47947ED7"/>
    <w:rsid w:val="483E65AE"/>
    <w:rsid w:val="4BFE6267"/>
    <w:rsid w:val="4C2A6435"/>
    <w:rsid w:val="536D782E"/>
    <w:rsid w:val="55591C47"/>
    <w:rsid w:val="564927D4"/>
    <w:rsid w:val="57D85FAF"/>
    <w:rsid w:val="5F131BD1"/>
    <w:rsid w:val="62FD0613"/>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9">
    <w:name w:val="Heading #4|1"/>
    <w:basedOn w:val="1"/>
    <w:qFormat/>
    <w:uiPriority w:val="0"/>
    <w:pPr>
      <w:spacing w:after="70" w:line="414" w:lineRule="exact"/>
      <w:outlineLvl w:val="3"/>
    </w:pPr>
    <w:rPr>
      <w:rFonts w:ascii="宋体" w:hAnsi="宋体" w:eastAsia="宋体" w:cs="宋体"/>
      <w:sz w:val="28"/>
      <w:szCs w:val="28"/>
      <w:lang w:val="zh-TW" w:eastAsia="zh-TW" w:bidi="zh-TW"/>
    </w:rPr>
  </w:style>
  <w:style w:type="paragraph" w:customStyle="1" w:styleId="10">
    <w:name w:val="Body text|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1">
    <w:name w:val="Other|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2">
    <w:name w:val="Header or footer|2"/>
    <w:basedOn w:val="1"/>
    <w:qFormat/>
    <w:uiPriority w:val="0"/>
    <w:rPr>
      <w:sz w:val="20"/>
      <w:szCs w:val="20"/>
      <w:lang w:val="zh-TW" w:eastAsia="zh-TW" w:bidi="zh-TW"/>
    </w:rPr>
  </w:style>
  <w:style w:type="paragraph" w:customStyle="1" w:styleId="13">
    <w:name w:val="Body text|2"/>
    <w:basedOn w:val="1"/>
    <w:qFormat/>
    <w:uiPriority w:val="0"/>
    <w:pPr>
      <w:spacing w:line="736" w:lineRule="exact"/>
      <w:ind w:left="340" w:hanging="340"/>
    </w:pPr>
    <w:rPr>
      <w:rFonts w:ascii="宋体" w:hAnsi="宋体" w:eastAsia="宋体" w:cs="宋体"/>
      <w:sz w:val="28"/>
      <w:szCs w:val="28"/>
      <w:lang w:val="zh-TW" w:eastAsia="zh-TW" w:bidi="zh-TW"/>
    </w:rPr>
  </w:style>
  <w:style w:type="character" w:customStyle="1" w:styleId="14">
    <w:name w:val="页眉 字符"/>
    <w:basedOn w:val="7"/>
    <w:link w:val="4"/>
    <w:qFormat/>
    <w:uiPriority w:val="0"/>
    <w:rPr>
      <w:rFonts w:asciiTheme="minorHAnsi" w:hAnsiTheme="minorHAnsi" w:eastAsiaTheme="minorEastAsia" w:cstheme="minorBidi"/>
      <w:kern w:val="2"/>
      <w:sz w:val="18"/>
      <w:szCs w:val="18"/>
    </w:rPr>
  </w:style>
  <w:style w:type="character" w:customStyle="1" w:styleId="15">
    <w:name w:val="页脚 字符"/>
    <w:basedOn w:val="7"/>
    <w:link w:val="3"/>
    <w:qFormat/>
    <w:uiPriority w:val="0"/>
    <w:rPr>
      <w:rFonts w:asciiTheme="minorHAnsi" w:hAnsiTheme="minorHAnsi" w:eastAsiaTheme="minorEastAsia" w:cstheme="minorBidi"/>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1545</Words>
  <Characters>1596</Characters>
  <Lines>12</Lines>
  <Paragraphs>3</Paragraphs>
  <TotalTime>80</TotalTime>
  <ScaleCrop>false</ScaleCrop>
  <LinksUpToDate>false</LinksUpToDate>
  <CharactersWithSpaces>1597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2023-03-13T11:43:00Z</dcterms:created>
  <dc:creator>阿融</dc:creator>
  <cp:lastModifiedBy>。</cp:lastModifiedBy>
  <dcterms:modified xsi:type="dcterms:W3CDTF">2023-03-29T12:13:33Z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62737996527D4D749885DEC555C236FB</vt:lpwstr>
  </property>
</Properties>
</file>