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sz w:val="36"/>
          <w:szCs w:val="36"/>
          <w:lang w:val="en-US" w:eastAsia="zh-CN"/>
        </w:rPr>
      </w:pPr>
      <w:r>
        <w:rPr>
          <w:rFonts w:hint="eastAsia" w:ascii="方正小标宋简体" w:hAnsi="方正小标宋简体" w:eastAsia="方正小标宋简体" w:cs="方正小标宋简体"/>
          <w:b/>
          <w:bCs/>
          <w:color w:val="000000"/>
          <w:sz w:val="36"/>
          <w:szCs w:val="36"/>
          <w:lang w:val="en-US" w:eastAsia="zh-CN"/>
        </w:rPr>
        <w:t>清源</w:t>
      </w:r>
      <w:r>
        <w:rPr>
          <w:rFonts w:hint="eastAsia" w:ascii="方正小标宋简体" w:hAnsi="方正小标宋简体" w:eastAsia="方正小标宋简体" w:cs="方正小标宋简体"/>
          <w:b/>
          <w:bCs/>
          <w:color w:val="000000"/>
          <w:sz w:val="36"/>
          <w:szCs w:val="36"/>
        </w:rPr>
        <w:t>创新实验室</w:t>
      </w:r>
      <w:r>
        <w:rPr>
          <w:rFonts w:hint="eastAsia" w:ascii="方正小标宋简体" w:hAnsi="方正小标宋简体" w:eastAsia="方正小标宋简体" w:cs="方正小标宋简体"/>
          <w:b/>
          <w:bCs/>
          <w:color w:val="000000"/>
          <w:sz w:val="36"/>
          <w:szCs w:val="36"/>
          <w:lang w:val="en-US" w:eastAsia="zh-CN"/>
        </w:rPr>
        <w:t>质谱仪</w:t>
      </w:r>
      <w:r>
        <w:rPr>
          <w:rFonts w:hint="eastAsia" w:ascii="方正小标宋简体" w:hAnsi="方正小标宋简体" w:eastAsia="方正小标宋简体" w:cs="方正小标宋简体"/>
          <w:b/>
          <w:bCs/>
          <w:color w:val="000000"/>
          <w:sz w:val="36"/>
          <w:szCs w:val="36"/>
        </w:rPr>
        <w:t>需求</w:t>
      </w:r>
      <w:r>
        <w:rPr>
          <w:rFonts w:hint="eastAsia" w:ascii="方正小标宋简体" w:hAnsi="方正小标宋简体" w:eastAsia="方正小标宋简体" w:cs="方正小标宋简体"/>
          <w:b/>
          <w:bCs/>
          <w:color w:val="000000"/>
          <w:sz w:val="36"/>
          <w:szCs w:val="36"/>
          <w:lang w:val="en-US" w:eastAsia="zh-CN"/>
        </w:rPr>
        <w:t>调研情况</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val="en-US" w:eastAsia="zh-CN"/>
        </w:rPr>
        <w:t>一、</w:t>
      </w:r>
      <w:r>
        <w:rPr>
          <w:rFonts w:hint="eastAsia" w:ascii="黑体" w:hAnsi="黑体" w:eastAsia="黑体" w:cs="黑体"/>
          <w:color w:val="000000"/>
          <w:sz w:val="30"/>
          <w:szCs w:val="30"/>
        </w:rPr>
        <w:t>仪器设备使用的项目</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hint="eastAsia" w:cs="仿宋_GB2312" w:asciiTheme="minorEastAsia" w:hAnsiTheme="minorEastAsia" w:eastAsiaTheme="minorEastAsia"/>
          <w:color w:val="000000"/>
          <w:sz w:val="30"/>
          <w:szCs w:val="30"/>
          <w:lang w:eastAsia="zh-CN"/>
        </w:rPr>
      </w:pPr>
      <w:r>
        <w:rPr>
          <w:rFonts w:hint="eastAsia" w:cs="仿宋_GB2312" w:asciiTheme="minorEastAsia" w:hAnsiTheme="minorEastAsia"/>
          <w:color w:val="000000"/>
          <w:sz w:val="30"/>
          <w:szCs w:val="30"/>
        </w:rPr>
        <w:t>正在承担的清源创新实验室重大项目、国家自然科学基金和福建省自然科学基金项目的研究</w:t>
      </w:r>
      <w:r>
        <w:rPr>
          <w:rFonts w:hint="eastAsia" w:cs="仿宋_GB2312" w:asciiTheme="minorEastAsia" w:hAnsiTheme="minorEastAsia"/>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二、在该项目中所承担的任务</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课题组重点开展电催化合成氨、有机胺催化合成、直接氨碱性膜燃料电池/固体氧化物燃料电池、氨电化学氧化、氨催化分解及能源催化材料的研究。电化学差分质谱仪结合了电化学半电池实验和四极质谱仪的微分电化学质谱（DEMS），可以进行实时原位分析电化学反应中的挥发性反应物、中间体、反应产物。当电极反应产物为共析出时，该DEMS微分电化学质谱仪可同时确定每种产物的含量随电极电位或时间的变化。</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根据国内外同领域的科研教学项目经验，微分电化学质谱仪在化学化工研究等方面学科建设发挥着不可缺少的重要作用。</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hint="eastAsia" w:ascii="黑体" w:hAnsi="黑体" w:eastAsia="黑体" w:cs="黑体"/>
          <w:color w:val="000000"/>
          <w:sz w:val="30"/>
          <w:szCs w:val="30"/>
          <w:lang w:val="en-US" w:eastAsia="zh-CN"/>
        </w:rPr>
      </w:pPr>
      <w:bookmarkStart w:id="0" w:name="_GoBack"/>
      <w:r>
        <w:rPr>
          <w:rFonts w:hint="eastAsia" w:ascii="黑体" w:hAnsi="黑体" w:eastAsia="黑体" w:cs="黑体"/>
          <w:color w:val="000000"/>
          <w:sz w:val="30"/>
          <w:szCs w:val="30"/>
          <w:lang w:val="en-US" w:eastAsia="zh-CN"/>
        </w:rPr>
        <w:t>三、国内外同类项目所用的仪器设备及优缺点对比</w:t>
      </w:r>
    </w:p>
    <w:bookmarkEnd w:id="0"/>
    <w:tbl>
      <w:tblPr>
        <w:tblStyle w:val="3"/>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97"/>
        <w:gridCol w:w="2325"/>
        <w:gridCol w:w="213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77" w:type="dxa"/>
            <w:gridSpan w:val="5"/>
            <w:tcBorders>
              <w:bottom w:val="single" w:color="auto" w:sz="4" w:space="0"/>
            </w:tcBorders>
            <w:noWrap w:val="0"/>
            <w:vAlign w:val="top"/>
          </w:tcPr>
          <w:p>
            <w:pPr>
              <w:snapToGrid w:val="0"/>
              <w:spacing w:line="400" w:lineRule="exact"/>
              <w:rPr>
                <w:rFonts w:hint="eastAsia" w:ascii="宋体" w:hAnsi="宋体"/>
                <w:b/>
                <w:bCs/>
                <w:sz w:val="30"/>
                <w:szCs w:val="30"/>
              </w:rPr>
            </w:pPr>
            <w:r>
              <w:rPr>
                <w:rFonts w:hint="eastAsia" w:ascii="宋体" w:hAnsi="宋体" w:eastAsia="宋体" w:cs="宋体"/>
                <w:b/>
                <w:sz w:val="28"/>
                <w:szCs w:val="28"/>
              </w:rPr>
              <w:t>同类项目所用仪器设备的优缺点（提供不少于三家制造公司的仪器设备）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55" w:type="dxa"/>
            <w:tcBorders>
              <w:bottom w:val="single" w:color="auto" w:sz="4" w:space="0"/>
            </w:tcBorders>
            <w:noWrap w:val="0"/>
            <w:vAlign w:val="center"/>
          </w:tcPr>
          <w:p>
            <w:pPr>
              <w:jc w:val="center"/>
              <w:rPr>
                <w:rFonts w:hint="eastAsia" w:ascii="黑体" w:hAnsi="黑体" w:eastAsia="黑体" w:cs="黑体"/>
                <w:b/>
                <w:bCs/>
                <w:kern w:val="0"/>
                <w:szCs w:val="21"/>
              </w:rPr>
            </w:pPr>
            <w:r>
              <w:rPr>
                <w:rFonts w:hint="eastAsia" w:ascii="黑体" w:hAnsi="黑体" w:eastAsia="黑体" w:cs="黑体"/>
                <w:b/>
                <w:bCs/>
                <w:spacing w:val="160"/>
                <w:kern w:val="0"/>
                <w:szCs w:val="21"/>
              </w:rPr>
              <w:t>类</w:t>
            </w:r>
            <w:r>
              <w:rPr>
                <w:rFonts w:hint="eastAsia" w:ascii="黑体" w:hAnsi="黑体" w:eastAsia="黑体" w:cs="黑体"/>
                <w:b/>
                <w:bCs/>
                <w:kern w:val="0"/>
                <w:szCs w:val="21"/>
              </w:rPr>
              <w:t>别</w:t>
            </w:r>
          </w:p>
        </w:tc>
        <w:tc>
          <w:tcPr>
            <w:tcW w:w="1697" w:type="dxa"/>
            <w:tcBorders>
              <w:bottom w:val="single" w:color="auto" w:sz="4" w:space="0"/>
            </w:tcBorders>
            <w:noWrap w:val="0"/>
            <w:vAlign w:val="center"/>
          </w:tcPr>
          <w:p>
            <w:pPr>
              <w:jc w:val="center"/>
              <w:rPr>
                <w:rFonts w:hint="eastAsia" w:ascii="黑体" w:hAnsi="黑体" w:eastAsia="黑体" w:cs="黑体"/>
                <w:b/>
                <w:bCs/>
                <w:kern w:val="0"/>
                <w:szCs w:val="21"/>
              </w:rPr>
            </w:pPr>
            <w:r>
              <w:rPr>
                <w:rFonts w:hint="eastAsia" w:ascii="黑体" w:hAnsi="黑体" w:eastAsia="黑体" w:cs="黑体"/>
                <w:spacing w:val="160"/>
                <w:kern w:val="0"/>
                <w:szCs w:val="21"/>
              </w:rPr>
              <w:t>项</w:t>
            </w:r>
            <w:r>
              <w:rPr>
                <w:rFonts w:hint="eastAsia" w:ascii="黑体" w:hAnsi="黑体" w:eastAsia="黑体" w:cs="黑体"/>
                <w:kern w:val="0"/>
                <w:szCs w:val="21"/>
              </w:rPr>
              <w:t>目</w:t>
            </w:r>
          </w:p>
        </w:tc>
        <w:tc>
          <w:tcPr>
            <w:tcW w:w="2325" w:type="dxa"/>
            <w:tcBorders>
              <w:bottom w:val="single" w:color="auto" w:sz="4" w:space="0"/>
            </w:tcBorders>
            <w:noWrap w:val="0"/>
            <w:vAlign w:val="center"/>
          </w:tcPr>
          <w:p>
            <w:pPr>
              <w:jc w:val="center"/>
              <w:rPr>
                <w:rFonts w:hint="eastAsia" w:ascii="黑体" w:hAnsi="黑体" w:eastAsia="黑体" w:cs="黑体"/>
                <w:b/>
                <w:bCs/>
                <w:kern w:val="0"/>
                <w:szCs w:val="21"/>
              </w:rPr>
            </w:pPr>
            <w:r>
              <w:rPr>
                <w:rFonts w:hint="eastAsia" w:ascii="黑体" w:hAnsi="黑体" w:eastAsia="黑体" w:cs="黑体"/>
              </w:rPr>
              <w:t>英国Hiden</w:t>
            </w:r>
          </w:p>
        </w:tc>
        <w:tc>
          <w:tcPr>
            <w:tcW w:w="2130" w:type="dxa"/>
            <w:tcBorders>
              <w:bottom w:val="single" w:color="auto" w:sz="4" w:space="0"/>
            </w:tcBorders>
            <w:noWrap w:val="0"/>
            <w:vAlign w:val="center"/>
          </w:tcPr>
          <w:p>
            <w:pPr>
              <w:jc w:val="center"/>
              <w:rPr>
                <w:rFonts w:hint="eastAsia" w:ascii="黑体" w:hAnsi="黑体" w:eastAsia="黑体" w:cs="黑体"/>
                <w:b/>
                <w:bCs/>
                <w:kern w:val="0"/>
                <w:szCs w:val="21"/>
              </w:rPr>
            </w:pPr>
            <w:r>
              <w:rPr>
                <w:rFonts w:hint="eastAsia" w:ascii="黑体" w:hAnsi="黑体" w:eastAsia="黑体" w:cs="黑体"/>
              </w:rPr>
              <w:t xml:space="preserve">  美国  Bay</w:t>
            </w:r>
          </w:p>
        </w:tc>
        <w:tc>
          <w:tcPr>
            <w:tcW w:w="2270" w:type="dxa"/>
            <w:tcBorders>
              <w:bottom w:val="single" w:color="auto" w:sz="4" w:space="0"/>
            </w:tcBorders>
            <w:noWrap w:val="0"/>
            <w:vAlign w:val="center"/>
          </w:tcPr>
          <w:p>
            <w:pPr>
              <w:jc w:val="center"/>
              <w:rPr>
                <w:rFonts w:hint="eastAsia" w:ascii="黑体" w:hAnsi="黑体" w:eastAsia="黑体" w:cs="黑体"/>
                <w:b/>
                <w:bCs/>
                <w:kern w:val="0"/>
                <w:szCs w:val="21"/>
              </w:rPr>
            </w:pPr>
            <w:r>
              <w:rPr>
                <w:rFonts w:hint="eastAsia" w:ascii="黑体" w:hAnsi="黑体" w:eastAsia="黑体" w:cs="黑体"/>
                <w:szCs w:val="22"/>
              </w:rPr>
              <w:t>中国 上海零露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55" w:type="dxa"/>
            <w:vMerge w:val="restart"/>
            <w:noWrap w:val="0"/>
            <w:vAlign w:val="center"/>
          </w:tcPr>
          <w:p>
            <w:pPr>
              <w:jc w:val="center"/>
              <w:rPr>
                <w:b/>
                <w:bCs/>
                <w:kern w:val="0"/>
                <w:sz w:val="28"/>
                <w:szCs w:val="28"/>
              </w:rPr>
            </w:pPr>
            <w:r>
              <w:rPr>
                <w:b/>
                <w:bCs/>
                <w:kern w:val="0"/>
                <w:szCs w:val="21"/>
              </w:rPr>
              <w:t>主要性能指标</w:t>
            </w: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型号</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HPR</w:t>
            </w:r>
            <w:r>
              <w:t>-40 DSA</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 xml:space="preserve">Hiquad </w:t>
            </w:r>
            <w:r>
              <w:t>2</w:t>
            </w:r>
            <w:r>
              <w:rPr>
                <w:rFonts w:hint="eastAsia"/>
              </w:rPr>
              <w:t>00amu</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Arial" w:hAnsi="Arial" w:cs="Arial"/>
                <w:szCs w:val="22"/>
              </w:rPr>
              <w:t>Hiquad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质量数范围amu</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1</w:t>
            </w:r>
            <w:r>
              <w:rPr>
                <w:rFonts w:hint="eastAsia"/>
              </w:rPr>
              <w:t>~</w:t>
            </w:r>
            <w:r>
              <w:t>200</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1~200</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1~2</w:t>
            </w:r>
            <w:r>
              <w:rPr>
                <w:rFonts w:hint="eastAsia"/>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离子源灯丝</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ascii="宋体" w:hAnsi="宋体"/>
              </w:rPr>
            </w:pPr>
            <w:r>
              <w:rPr>
                <w:rFonts w:hint="eastAsia" w:ascii="宋体" w:hAnsi="宋体"/>
              </w:rPr>
              <w:t>半开放式离子源，</w:t>
            </w:r>
          </w:p>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hint="eastAsia" w:ascii="宋体" w:hAnsi="宋体"/>
              </w:rPr>
            </w:pPr>
            <w:r>
              <w:rPr>
                <w:rFonts w:hint="eastAsia" w:ascii="宋体" w:hAnsi="宋体"/>
              </w:rPr>
              <w:t>铱灯丝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污染少，寿命长（4年）</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hint="eastAsia" w:ascii="宋体" w:hAnsi="宋体"/>
              </w:rPr>
            </w:pPr>
            <w:r>
              <w:rPr>
                <w:rFonts w:hint="eastAsia" w:ascii="宋体" w:hAnsi="宋体"/>
              </w:rPr>
              <w:t>钨灯丝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污染大，寿命短</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ascii="宋体" w:hAnsi="宋体"/>
              </w:rPr>
            </w:pPr>
            <w:r>
              <w:rPr>
                <w:rFonts w:hint="eastAsia" w:ascii="宋体" w:hAnsi="宋体"/>
              </w:rPr>
              <w:t>封闭式离子源，</w:t>
            </w:r>
          </w:p>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hint="eastAsia" w:ascii="宋体" w:hAnsi="宋体"/>
              </w:rPr>
            </w:pPr>
            <w:r>
              <w:rPr>
                <w:rFonts w:hint="eastAsia" w:ascii="宋体" w:hAnsi="宋体"/>
              </w:rPr>
              <w:t>钨灯丝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污染大，寿命短（1年）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color w:val="000000"/>
              </w:rPr>
              <w:t>检测器</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法拉第/电子增倍器</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法拉第/电子增倍器</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法拉第/电子增倍器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检测极限</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0.1pp</w:t>
            </w:r>
            <w:r>
              <w:rPr>
                <w:rFonts w:hint="eastAsia"/>
              </w:rPr>
              <w:t>m</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5</w:t>
            </w:r>
            <w:r>
              <w:rPr>
                <w:rFonts w:hint="eastAsia"/>
              </w:rPr>
              <w:t>ppm</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1</w:t>
            </w:r>
            <w:r>
              <w:t>0</w:t>
            </w:r>
            <w:r>
              <w:rPr>
                <w:rFonts w:hint="eastAsia"/>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最小扫描步阶</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0.01amu</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0.1amu</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0.5amu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分辨率</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t>0.</w:t>
            </w:r>
            <w:r>
              <w:rPr>
                <w:rFonts w:hint="eastAsia"/>
              </w:rPr>
              <w:t>5amu</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1amu</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1amu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快速扫描速度</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100amu/s</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50amu/s</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50amu/s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检测质量通道</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&gt;200</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64</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软离子化功能</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hint="eastAsia"/>
              </w:rPr>
            </w:pPr>
            <w:r>
              <w:rPr>
                <w:rFonts w:hint="eastAsia"/>
              </w:rPr>
              <w:t>有，</w:t>
            </w:r>
            <w:r>
              <w:t>4</w:t>
            </w:r>
            <w:r>
              <w:rPr>
                <w:rFonts w:hint="eastAsia"/>
              </w:rPr>
              <w:t>-</w:t>
            </w:r>
            <w:r>
              <w:t>150</w:t>
            </w:r>
            <w:r>
              <w:rPr>
                <w:rFonts w:hint="eastAsia"/>
              </w:rPr>
              <w:t>ev</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改变离子化电压,选择性分辨复杂气体和蒸气中成份</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无</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hint="eastAsia"/>
                <w:szCs w:val="20"/>
              </w:rPr>
            </w:pPr>
            <w:r>
              <w:rPr>
                <w:rFonts w:hint="eastAsia"/>
                <w:szCs w:val="20"/>
              </w:rPr>
              <w:t>稳定性</w:t>
            </w:r>
          </w:p>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szCs w:val="20"/>
              </w:rPr>
            </w:pPr>
            <w:r>
              <w:rPr>
                <w:rFonts w:hint="eastAsia"/>
                <w:szCs w:val="20"/>
              </w:rPr>
              <w:t>质量稳定性</w:t>
            </w:r>
            <w:r>
              <w:rPr>
                <w:szCs w:val="20"/>
              </w:rPr>
              <w:t>:</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峰高</w:t>
            </w:r>
            <w:r>
              <w:rPr>
                <w:szCs w:val="20"/>
              </w:rPr>
              <w:t>:</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ascii="宋体" w:hAnsi="宋体"/>
              </w:rPr>
            </w:pPr>
            <w:r>
              <w:rPr>
                <w:rFonts w:hint="eastAsia" w:ascii="宋体" w:hAnsi="宋体"/>
              </w:rPr>
              <w:t>24小时变化</w:t>
            </w:r>
            <w:r>
              <w:rPr>
                <w:rFonts w:hint="eastAsia" w:ascii="Arial" w:hAnsi="Arial" w:cs="Arial"/>
                <w:szCs w:val="22"/>
              </w:rPr>
              <w:t>&lt;</w:t>
            </w:r>
            <w:r>
              <w:rPr>
                <w:rFonts w:ascii="宋体" w:hAnsi="宋体"/>
              </w:rPr>
              <w:t xml:space="preserve"> ±0.</w:t>
            </w:r>
            <w:r>
              <w:rPr>
                <w:rFonts w:hint="eastAsia" w:ascii="宋体" w:hAnsi="宋体"/>
              </w:rPr>
              <w:t>0</w:t>
            </w:r>
            <w:r>
              <w:rPr>
                <w:rFonts w:ascii="宋体" w:hAnsi="宋体"/>
              </w:rPr>
              <w:t>1amu</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24小时变化</w:t>
            </w:r>
            <w:r>
              <w:rPr>
                <w:rFonts w:hint="eastAsia" w:ascii="Arial" w:hAnsi="Arial" w:cs="Arial"/>
                <w:szCs w:val="22"/>
              </w:rPr>
              <w:t>&lt;</w:t>
            </w:r>
            <w:r>
              <w:rPr>
                <w:rFonts w:ascii="宋体" w:hAnsi="宋体"/>
              </w:rPr>
              <w:t>± 0.5%</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无数据</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62" w:beforeLines="20" w:after="62" w:afterLines="20" w:line="280" w:lineRule="exact"/>
              <w:jc w:val="center"/>
              <w:textAlignment w:val="auto"/>
              <w:rPr>
                <w:rFonts w:ascii="宋体" w:hAnsi="宋体"/>
              </w:rPr>
            </w:pPr>
            <w:r>
              <w:rPr>
                <w:rFonts w:hint="eastAsia" w:ascii="宋体" w:hAnsi="宋体"/>
              </w:rPr>
              <w:t>±</w:t>
            </w:r>
            <w:r>
              <w:rPr>
                <w:rFonts w:ascii="宋体" w:hAnsi="宋体"/>
              </w:rPr>
              <w:t xml:space="preserve"> 0.1amu</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w:t>
            </w:r>
            <w:r>
              <w:rPr>
                <w:rFonts w:ascii="宋体" w:hAnsi="宋体"/>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最快数据采集速度</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500点/秒</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200点/秒</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100点/秒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自动质量校正</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有</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无</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55" w:type="dxa"/>
            <w:vMerge w:val="continue"/>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数据信号输入/出</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标配2道</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2道</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1道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Merge w:val="continue"/>
            <w:tcBorders>
              <w:bottom w:val="single" w:color="auto" w:sz="4" w:space="0"/>
            </w:tcBorders>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szCs w:val="20"/>
              </w:rPr>
              <w:t>与计算机连接方式</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USB, RS232（串口线）,网线，RS485 均有</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RS232</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rPr>
              <w:t>RS232,RS485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vMerge w:val="restart"/>
            <w:noWrap w:val="0"/>
            <w:vAlign w:val="center"/>
          </w:tcPr>
          <w:p>
            <w:pPr>
              <w:jc w:val="center"/>
              <w:rPr>
                <w:b/>
                <w:bCs/>
                <w:kern w:val="0"/>
                <w:szCs w:val="21"/>
              </w:rPr>
            </w:pPr>
            <w:r>
              <w:rPr>
                <w:b/>
                <w:bCs/>
                <w:kern w:val="0"/>
                <w:szCs w:val="21"/>
              </w:rPr>
              <w:t>市场情况和价格比较</w:t>
            </w: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市场情况</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市场占有率第一，</w:t>
            </w:r>
            <w:r>
              <w:rPr>
                <w:rFonts w:ascii="宋体" w:hAnsi="宋体"/>
                <w:kern w:val="0"/>
                <w:szCs w:val="21"/>
              </w:rPr>
              <w:t xml:space="preserve"> 95</w:t>
            </w:r>
            <w:r>
              <w:rPr>
                <w:rFonts w:hint="eastAsia" w:ascii="宋体" w:hAnsi="宋体"/>
                <w:kern w:val="0"/>
                <w:szCs w:val="21"/>
              </w:rPr>
              <w:t>%以上，口碑好，用户群多，方便用户之间技术交流。</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市场占有率极低，用户口碑一般。</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市场占用率极低，用户群不多。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55" w:type="dxa"/>
            <w:vMerge w:val="continue"/>
            <w:tcBorders>
              <w:bottom w:val="single" w:color="auto" w:sz="4" w:space="0"/>
            </w:tcBorders>
            <w:noWrap w:val="0"/>
            <w:vAlign w:val="center"/>
          </w:tcPr>
          <w:p>
            <w:pPr>
              <w:jc w:val="center"/>
              <w:rPr>
                <w:b/>
                <w:bCs/>
                <w:kern w:val="0"/>
                <w:sz w:val="28"/>
                <w:szCs w:val="28"/>
              </w:rPr>
            </w:pP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szCs w:val="21"/>
              </w:rPr>
              <w:t>价格比较</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szCs w:val="21"/>
              </w:rPr>
              <w:t>性价高</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价格较高</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kern w:val="0"/>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5" w:type="dxa"/>
            <w:tcBorders>
              <w:bottom w:val="single" w:color="auto" w:sz="4" w:space="0"/>
            </w:tcBorders>
            <w:noWrap w:val="0"/>
            <w:vAlign w:val="center"/>
          </w:tcPr>
          <w:p>
            <w:pPr>
              <w:jc w:val="center"/>
              <w:rPr>
                <w:b/>
                <w:bCs/>
                <w:kern w:val="0"/>
                <w:szCs w:val="21"/>
              </w:rPr>
            </w:pPr>
            <w:r>
              <w:rPr>
                <w:b/>
                <w:bCs/>
                <w:kern w:val="0"/>
                <w:szCs w:val="21"/>
              </w:rPr>
              <w:t>售后</w:t>
            </w:r>
          </w:p>
          <w:p>
            <w:pPr>
              <w:jc w:val="center"/>
              <w:rPr>
                <w:b/>
                <w:bCs/>
                <w:kern w:val="0"/>
                <w:sz w:val="28"/>
                <w:szCs w:val="28"/>
              </w:rPr>
            </w:pPr>
            <w:r>
              <w:rPr>
                <w:b/>
                <w:bCs/>
                <w:kern w:val="0"/>
                <w:szCs w:val="21"/>
              </w:rPr>
              <w:t>服务</w:t>
            </w:r>
          </w:p>
        </w:tc>
        <w:tc>
          <w:tcPr>
            <w:tcW w:w="169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cs="宋体"/>
                <w:kern w:val="0"/>
                <w:sz w:val="22"/>
                <w:szCs w:val="22"/>
              </w:rPr>
              <w:t>响应速度</w:t>
            </w:r>
          </w:p>
        </w:tc>
        <w:tc>
          <w:tcPr>
            <w:tcW w:w="232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cs="宋体"/>
                <w:sz w:val="22"/>
                <w:szCs w:val="22"/>
              </w:rPr>
              <w:t>国内有北京总部及上海办事处共7名资深的专职工程师，响应快，能快速为客户解决问题，大多数问题在国内就可以解决，每个工程师出差，都会预留</w:t>
            </w:r>
            <w:r>
              <w:rPr>
                <w:rFonts w:ascii="宋体" w:hAnsi="宋体" w:cs="宋体"/>
                <w:sz w:val="22"/>
                <w:szCs w:val="22"/>
              </w:rPr>
              <w:t xml:space="preserve"> 1-2 </w:t>
            </w:r>
            <w:r>
              <w:rPr>
                <w:rFonts w:hint="eastAsia" w:ascii="宋体" w:hAnsi="宋体" w:cs="宋体"/>
                <w:sz w:val="22"/>
                <w:szCs w:val="22"/>
              </w:rPr>
              <w:t>天的时间，回访同一个城市的其他客户，为客户提供及时周到的售后服务。</w:t>
            </w:r>
          </w:p>
        </w:tc>
        <w:tc>
          <w:tcPr>
            <w:tcW w:w="213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cs="宋体"/>
                <w:sz w:val="22"/>
                <w:szCs w:val="22"/>
              </w:rPr>
              <w:t>响应时间较长</w:t>
            </w:r>
          </w:p>
        </w:tc>
        <w:tc>
          <w:tcPr>
            <w:tcW w:w="22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kern w:val="0"/>
                <w:sz w:val="28"/>
                <w:szCs w:val="28"/>
              </w:rPr>
            </w:pPr>
            <w:r>
              <w:rPr>
                <w:rFonts w:hint="eastAsia" w:ascii="宋体" w:hAnsi="宋体" w:cs="宋体"/>
                <w:sz w:val="22"/>
                <w:szCs w:val="22"/>
              </w:rPr>
              <w:t>响应时间较长</w:t>
            </w:r>
          </w:p>
        </w:tc>
      </w:tr>
    </w:tbl>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四、条件准备情况</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4.1 准备安装的地点以及该地点是否已经具备了安装备件（如水、电、通风、承重能力等）</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实验室具备电（220V 单相电源）、实验平台（尺寸大于40 x 58 cm，可以承61Kg以上的设备）等安装条件。已具备安装条件。</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4.2 保管人员及使用人员，保管人员是否已具备了管理能力，对使用人员是否有特殊的要求(使用人员是否已具备使用能力、是否应经专门培训等）</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保管人员具有丰富的设备管理经验，该设备对使用人员无特殊要求，经现场培训可以掌握设备操作要领。</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五、可能存在的安全性问题</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jc w:val="left"/>
        <w:textAlignment w:val="auto"/>
        <w:rPr>
          <w:rFonts w:hint="eastAsia" w:cs="仿宋_GB2312" w:asciiTheme="minorEastAsia" w:hAnsiTheme="minorEastAsia"/>
          <w:color w:val="000000"/>
          <w:sz w:val="30"/>
          <w:szCs w:val="30"/>
          <w:lang w:val="en-US" w:eastAsia="zh-CN"/>
        </w:rPr>
      </w:pPr>
      <w:r>
        <w:rPr>
          <w:rFonts w:hint="eastAsia" w:cs="仿宋_GB2312" w:asciiTheme="minorEastAsia" w:hAnsiTheme="minorEastAsia"/>
          <w:color w:val="000000"/>
          <w:sz w:val="30"/>
          <w:szCs w:val="30"/>
          <w:lang w:val="en-US" w:eastAsia="zh-CN"/>
        </w:rPr>
        <w:t>该设备使用过程无废弃物、污染、放射物，不会产生安全性问题。</w:t>
      </w:r>
    </w:p>
    <w:p>
      <w:pPr>
        <w:keepNext w:val="0"/>
        <w:keepLines w:val="0"/>
        <w:pageBreakBefore w:val="0"/>
        <w:widowControl w:val="0"/>
        <w:kinsoku/>
        <w:wordWrap/>
        <w:overflowPunct/>
        <w:topLinePunct w:val="0"/>
        <w:autoSpaceDE/>
        <w:autoSpaceDN/>
        <w:bidi w:val="0"/>
        <w:adjustRightInd/>
        <w:snapToGrid w:val="0"/>
        <w:spacing w:line="420" w:lineRule="exact"/>
        <w:jc w:val="left"/>
        <w:textAlignment w:val="auto"/>
        <w:rPr>
          <w:rFonts w:hint="eastAsia" w:cs="仿宋_GB2312" w:asciiTheme="minorEastAsia" w:hAnsiTheme="minorEastAsia"/>
          <w:color w:val="000000"/>
          <w:sz w:val="24"/>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仿宋 Std R">
    <w:altName w:val="宋体"/>
    <w:panose1 w:val="000000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-1 -</w:t>
                          </w:r>
                        </w:p>
                      </w:txbxContent>
                    </wps:txbx>
                    <wps:bodyPr wrap="none" lIns="0" tIns="0" rIns="0" bIns="0">
                      <a:spAutoFit/>
                    </wps:bodyPr>
                  </wps:wsp>
                </a:graphicData>
              </a:graphic>
            </wp:anchor>
          </w:drawing>
        </mc:Choice>
        <mc:Fallback>
          <w:pict>
            <v:shape id="Shape 10" o:spid="_x0000_s1026" o:spt="202" type="#_x0000_t202" style="position:absolute;left:0pt;margin-left:302.3pt;margin-top:804.05pt;height:6.1pt;width:14.75pt;mso-position-horizontal-relative:page;mso-position-vertical-relative:page;mso-wrap-style:none;z-index:-251657216;mso-width-relative:page;mso-height-relative:page;" filled="f" stroked="f" coordsize="21600,21600" o:gfxdata="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L9aJ2AAA&#10;AA0BAAAPAAAAAAAAAAEAIAAAACIAAABkcnMvZG93bnJldi54bWxQSwECFAAUAAAACACHTuJAuqom&#10;dawBAABwAwAADgAAAAAAAAABACAAAAAnAQAAZHJzL2Uyb0RvYy54bWxQSwUGAAAAAAYABgBZAQAA&#10;RQ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-1 -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EB7E60"/>
    <w:rsid w:val="01EA0E83"/>
    <w:rsid w:val="0301396B"/>
    <w:rsid w:val="05154E61"/>
    <w:rsid w:val="0ACD3951"/>
    <w:rsid w:val="0C2107A9"/>
    <w:rsid w:val="0CF462EF"/>
    <w:rsid w:val="108F4BD1"/>
    <w:rsid w:val="11A5339F"/>
    <w:rsid w:val="11C95F9C"/>
    <w:rsid w:val="1209283C"/>
    <w:rsid w:val="130628D8"/>
    <w:rsid w:val="1E592455"/>
    <w:rsid w:val="1FBB33A3"/>
    <w:rsid w:val="23201794"/>
    <w:rsid w:val="240E07A9"/>
    <w:rsid w:val="251D242F"/>
    <w:rsid w:val="257B5FDE"/>
    <w:rsid w:val="25C44658"/>
    <w:rsid w:val="27F73363"/>
    <w:rsid w:val="29D46E34"/>
    <w:rsid w:val="2B2160A9"/>
    <w:rsid w:val="2B724B56"/>
    <w:rsid w:val="2C5509C3"/>
    <w:rsid w:val="2E6863BB"/>
    <w:rsid w:val="2E7F7CB6"/>
    <w:rsid w:val="2ED00320"/>
    <w:rsid w:val="30C84A8F"/>
    <w:rsid w:val="3522139B"/>
    <w:rsid w:val="35BA60CE"/>
    <w:rsid w:val="39C33C94"/>
    <w:rsid w:val="3D0535B4"/>
    <w:rsid w:val="40C33A32"/>
    <w:rsid w:val="47947ED7"/>
    <w:rsid w:val="483E65AE"/>
    <w:rsid w:val="4BFE6267"/>
    <w:rsid w:val="4C2A6435"/>
    <w:rsid w:val="536D782E"/>
    <w:rsid w:val="55591C47"/>
    <w:rsid w:val="564927D4"/>
    <w:rsid w:val="57D85FAF"/>
    <w:rsid w:val="5F131BD1"/>
    <w:rsid w:val="709541F4"/>
    <w:rsid w:val="70FF1E55"/>
    <w:rsid w:val="74543DB5"/>
    <w:rsid w:val="77B27D81"/>
    <w:rsid w:val="793E2265"/>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Heading #4|1"/>
    <w:basedOn w:val="1"/>
    <w:qFormat/>
    <w:uiPriority w:val="0"/>
    <w:pPr>
      <w:widowControl w:val="0"/>
      <w:shd w:val="clear" w:color="auto" w:fill="auto"/>
      <w:spacing w:after="70" w:line="414" w:lineRule="exact"/>
      <w:outlineLvl w:val="3"/>
    </w:pPr>
    <w:rPr>
      <w:rFonts w:ascii="宋体" w:hAnsi="宋体" w:eastAsia="宋体" w:cs="宋体"/>
      <w:sz w:val="28"/>
      <w:szCs w:val="28"/>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300" w:line="454" w:lineRule="auto"/>
      <w:ind w:firstLine="400"/>
    </w:pPr>
    <w:rPr>
      <w:rFonts w:ascii="宋体" w:hAnsi="宋体" w:eastAsia="宋体" w:cs="宋体"/>
      <w:sz w:val="22"/>
      <w:szCs w:val="22"/>
      <w:u w:val="none"/>
      <w:shd w:val="clear" w:color="auto" w:fill="auto"/>
      <w:lang w:val="zh-TW" w:eastAsia="zh-TW" w:bidi="zh-TW"/>
    </w:rPr>
  </w:style>
  <w:style w:type="paragraph" w:customStyle="1" w:styleId="8">
    <w:name w:val="Other|1"/>
    <w:basedOn w:val="1"/>
    <w:qFormat/>
    <w:uiPriority w:val="0"/>
    <w:pPr>
      <w:widowControl w:val="0"/>
      <w:shd w:val="clear" w:color="auto" w:fill="auto"/>
      <w:spacing w:after="300" w:line="454" w:lineRule="auto"/>
      <w:ind w:firstLine="400"/>
    </w:pPr>
    <w:rPr>
      <w:rFonts w:ascii="宋体" w:hAnsi="宋体" w:eastAsia="宋体" w:cs="宋体"/>
      <w:sz w:val="22"/>
      <w:szCs w:val="22"/>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0">
    <w:name w:val="Body text|2"/>
    <w:basedOn w:val="1"/>
    <w:qFormat/>
    <w:uiPriority w:val="0"/>
    <w:pPr>
      <w:widowControl w:val="0"/>
      <w:shd w:val="clear" w:color="auto" w:fill="auto"/>
      <w:spacing w:line="736" w:lineRule="exact"/>
      <w:ind w:left="340" w:hanging="34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2021-12-07T05:47:44Z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