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bCs/>
          <w:color w:val="000000"/>
          <w:sz w:val="44"/>
          <w:szCs w:val="44"/>
        </w:rPr>
      </w:pPr>
      <w:r>
        <w:rPr>
          <w:rFonts w:hint="eastAsia" w:ascii="方正小标宋简体" w:hAnsi="方正小标宋简体" w:eastAsia="方正小标宋简体" w:cs="方正小标宋简体"/>
          <w:b/>
          <w:bCs/>
          <w:color w:val="000000"/>
          <w:sz w:val="44"/>
          <w:szCs w:val="44"/>
        </w:rPr>
        <w:t>清源创新实验室超高效液相色谱质谱仪</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hAnsi="方正小标宋简体" w:eastAsia="方正小标宋简体" w:cs="方正小标宋简体"/>
          <w:b/>
          <w:bCs/>
          <w:color w:val="000000"/>
          <w:sz w:val="44"/>
          <w:szCs w:val="44"/>
        </w:rPr>
      </w:pPr>
      <w:r>
        <w:rPr>
          <w:rFonts w:hint="eastAsia" w:ascii="方正小标宋简体" w:hAnsi="方正小标宋简体" w:eastAsia="方正小标宋简体" w:cs="方正小标宋简体"/>
          <w:b/>
          <w:bCs/>
          <w:color w:val="000000"/>
          <w:sz w:val="44"/>
          <w:szCs w:val="44"/>
        </w:rPr>
        <w:t>需求调研情况</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jc w:val="left"/>
        <w:textAlignment w:val="auto"/>
        <w:rPr>
          <w:rFonts w:ascii="仿宋_GB2312" w:hAnsi="仿宋_GB2312" w:eastAsia="仿宋_GB2312" w:cs="仿宋_GB2312"/>
          <w:color w:val="000000"/>
          <w:sz w:val="32"/>
          <w:szCs w:val="32"/>
        </w:rPr>
      </w:pPr>
      <w:r>
        <w:rPr>
          <w:rFonts w:hint="eastAsia" w:ascii="黑体" w:hAnsi="黑体" w:eastAsia="黑体" w:cs="黑体"/>
          <w:color w:val="000000"/>
          <w:sz w:val="32"/>
          <w:szCs w:val="32"/>
        </w:rPr>
        <w:t>一、仪器设备使用的项目</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jc w:val="left"/>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超高效液相色谱质谱仪是有机物组分分析的基本分析仪器，可为应用化学专业学生高分子实验教学提供分析手段，有效改善实验条件，有利于提高本科生与研究生的教学质量，为培养一批优秀的专业人才创造条件。另外，通过高效液相色谱仪仪购置对提升</w:t>
      </w:r>
      <w:r>
        <w:rPr>
          <w:rFonts w:hint="eastAsia" w:ascii="仿宋_GB2312" w:hAnsi="仿宋_GB2312" w:eastAsia="仿宋_GB2312" w:cs="仿宋_GB2312"/>
          <w:color w:val="000000"/>
          <w:sz w:val="32"/>
          <w:szCs w:val="32"/>
          <w:lang w:val="en-US" w:eastAsia="zh-CN"/>
        </w:rPr>
        <w:t>实验室</w:t>
      </w:r>
      <w:r>
        <w:rPr>
          <w:rFonts w:hint="eastAsia" w:ascii="仿宋_GB2312" w:hAnsi="仿宋_GB2312" w:eastAsia="仿宋_GB2312" w:cs="仿宋_GB2312"/>
          <w:color w:val="000000"/>
          <w:sz w:val="32"/>
          <w:szCs w:val="32"/>
        </w:rPr>
        <w:t>在高分子材料等研究领域的科研实力和发表高层次学术论文等方面发挥极其重要的作用，同时对申请主持这些领域的国家级及省部级科研项目提供了有力的支撑。</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jc w:val="left"/>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二、在该项目中所承担的任务</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超高效液相色谱质谱仪是主要用于分析高沸点不易挥发的、受热不稳定的和分子量大的有机化合物的仪器设备。它由储液器、泵、进样器、色谱柱、质谱检测器、记录仪等几部分组成。储液器中的流动相被高压泵打入系统，样品溶液经进样器进入流动相，被流动相载入色谱柱(固定相) 内，由于样品溶液中的各组分在两相中具有不同的分配系数，在两相中做相对运动时，经过反复多次的吸附- 解吸的分配过程，各组分在移动速度上产生较大的差别，被分离成单个组分依次从柱内流出，通过质谱检测器时，样品浓度被转换成电信号传送到记录仪，数据以图谱形式打印出来。购置此设备，可以确保清源创新实验室相关多个课题的顺利完成，为实验室的科研活动提供高水平、高质量的测试手段。从实验室的实际需求出发，这款仪器必将会填补日常检测手段相对单一，检测方法相对传统的缺陷，有助于提升实验室的科研水平。此外还可以广泛应用于指导科研并培养学生的研究能力，有利于提高实验室的科研实力。</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满足清源创新实验室教师、研究生科研工作中的需要。</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满足研究生、本科生课程实验教学工作的需要。</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对校内相关学科共享，提供科研服务。在优先保证清源创新实验室教学与科研的前提下,本仪器设备还将在相关政策的指导下，积极开展对外服务，在促进大学城高校资源共享的同时，加强与其他院校的学术交流。</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jc w:val="left"/>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对社会开放，提供测试服务。</w:t>
      </w:r>
    </w:p>
    <w:p>
      <w:pPr>
        <w:snapToGrid w:val="0"/>
        <w:spacing w:line="540" w:lineRule="exact"/>
        <w:ind w:firstLine="640" w:firstLineChars="200"/>
        <w:jc w:val="left"/>
        <w:rPr>
          <w:rFonts w:hint="eastAsia" w:ascii="黑体" w:hAnsi="黑体" w:eastAsia="黑体" w:cs="黑体"/>
          <w:color w:val="000000"/>
          <w:sz w:val="32"/>
          <w:szCs w:val="32"/>
        </w:rPr>
      </w:pPr>
      <w:r>
        <w:rPr>
          <w:rFonts w:hint="eastAsia" w:ascii="黑体" w:hAnsi="黑体" w:eastAsia="黑体" w:cs="黑体"/>
          <w:color w:val="000000"/>
          <w:sz w:val="32"/>
          <w:szCs w:val="32"/>
        </w:rPr>
        <w:t>三、国内外同类项目所用的仪器设备及优缺点对比</w:t>
      </w:r>
    </w:p>
    <w:p>
      <w:pPr>
        <w:adjustRightInd w:val="0"/>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国外生产主要厂家有安捷伦、岛津、沃特世等。其具体情况对比见附表。</w:t>
      </w:r>
    </w:p>
    <w:tbl>
      <w:tblPr>
        <w:tblStyle w:val="5"/>
        <w:tblW w:w="95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172"/>
        <w:gridCol w:w="2627"/>
        <w:gridCol w:w="2627"/>
        <w:gridCol w:w="2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38" w:type="dxa"/>
            <w:tcBorders>
              <w:bottom w:val="single" w:color="auto" w:sz="4" w:space="0"/>
            </w:tcBorders>
            <w:vAlign w:val="center"/>
          </w:tcPr>
          <w:p>
            <w:pPr>
              <w:spacing w:line="400" w:lineRule="atLeast"/>
              <w:contextualSpacing/>
              <w:jc w:val="center"/>
              <w:rPr>
                <w:rFonts w:hint="eastAsia" w:ascii="黑体" w:hAnsi="黑体" w:eastAsia="黑体" w:cs="黑体"/>
                <w:sz w:val="22"/>
                <w:szCs w:val="22"/>
              </w:rPr>
            </w:pPr>
            <w:r>
              <w:rPr>
                <w:rFonts w:hint="eastAsia" w:ascii="黑体" w:hAnsi="黑体" w:eastAsia="黑体" w:cs="黑体"/>
                <w:sz w:val="22"/>
                <w:szCs w:val="22"/>
              </w:rPr>
              <w:t>类别</w:t>
            </w:r>
          </w:p>
        </w:tc>
        <w:tc>
          <w:tcPr>
            <w:tcW w:w="1172" w:type="dxa"/>
            <w:tcBorders>
              <w:bottom w:val="single" w:color="auto" w:sz="4" w:space="0"/>
            </w:tcBorders>
            <w:vAlign w:val="center"/>
          </w:tcPr>
          <w:p>
            <w:pPr>
              <w:spacing w:line="400" w:lineRule="atLeast"/>
              <w:contextualSpacing/>
              <w:jc w:val="center"/>
              <w:rPr>
                <w:rFonts w:hint="eastAsia" w:ascii="黑体" w:hAnsi="黑体" w:eastAsia="黑体" w:cs="黑体"/>
                <w:sz w:val="22"/>
                <w:szCs w:val="22"/>
              </w:rPr>
            </w:pPr>
            <w:r>
              <w:rPr>
                <w:rFonts w:hint="eastAsia" w:ascii="黑体" w:hAnsi="黑体" w:eastAsia="黑体" w:cs="黑体"/>
                <w:sz w:val="22"/>
                <w:szCs w:val="22"/>
              </w:rPr>
              <w:t>品牌</w:t>
            </w:r>
          </w:p>
        </w:tc>
        <w:tc>
          <w:tcPr>
            <w:tcW w:w="2627" w:type="dxa"/>
            <w:tcBorders>
              <w:bottom w:val="single" w:color="auto" w:sz="4" w:space="0"/>
            </w:tcBorders>
            <w:vAlign w:val="center"/>
          </w:tcPr>
          <w:p>
            <w:pPr>
              <w:spacing w:line="400" w:lineRule="atLeast"/>
              <w:ind w:right="72"/>
              <w:contextualSpacing/>
              <w:jc w:val="center"/>
              <w:rPr>
                <w:rFonts w:hint="eastAsia" w:ascii="黑体" w:hAnsi="黑体" w:eastAsia="黑体" w:cs="黑体"/>
                <w:sz w:val="22"/>
                <w:szCs w:val="22"/>
              </w:rPr>
            </w:pPr>
            <w:r>
              <w:rPr>
                <w:rFonts w:hint="eastAsia" w:ascii="黑体" w:hAnsi="黑体" w:eastAsia="黑体" w:cs="黑体"/>
                <w:sz w:val="24"/>
              </w:rPr>
              <w:t>美国沃特斯</w:t>
            </w:r>
          </w:p>
        </w:tc>
        <w:tc>
          <w:tcPr>
            <w:tcW w:w="2627" w:type="dxa"/>
            <w:tcBorders>
              <w:bottom w:val="single" w:color="auto" w:sz="4" w:space="0"/>
            </w:tcBorders>
            <w:vAlign w:val="center"/>
          </w:tcPr>
          <w:p>
            <w:pPr>
              <w:spacing w:line="400" w:lineRule="atLeast"/>
              <w:contextualSpacing/>
              <w:jc w:val="center"/>
              <w:rPr>
                <w:rFonts w:hint="eastAsia" w:ascii="黑体" w:hAnsi="黑体" w:eastAsia="黑体" w:cs="黑体"/>
                <w:sz w:val="22"/>
                <w:szCs w:val="22"/>
              </w:rPr>
            </w:pPr>
            <w:r>
              <w:rPr>
                <w:rFonts w:hint="eastAsia" w:ascii="黑体" w:hAnsi="黑体" w:eastAsia="黑体" w:cs="黑体"/>
                <w:b/>
                <w:szCs w:val="21"/>
              </w:rPr>
              <w:t>SHIMADZU</w:t>
            </w:r>
          </w:p>
        </w:tc>
        <w:tc>
          <w:tcPr>
            <w:tcW w:w="2406" w:type="dxa"/>
            <w:tcBorders>
              <w:bottom w:val="single" w:color="auto" w:sz="4" w:space="0"/>
            </w:tcBorders>
            <w:vAlign w:val="center"/>
          </w:tcPr>
          <w:p>
            <w:pPr>
              <w:spacing w:line="400" w:lineRule="atLeast"/>
              <w:ind w:right="-108"/>
              <w:contextualSpacing/>
              <w:jc w:val="center"/>
              <w:rPr>
                <w:rFonts w:hint="eastAsia" w:ascii="黑体" w:hAnsi="黑体" w:eastAsia="黑体" w:cs="黑体"/>
                <w:sz w:val="22"/>
                <w:szCs w:val="22"/>
              </w:rPr>
            </w:pPr>
            <w:r>
              <w:rPr>
                <w:rFonts w:hint="eastAsia" w:ascii="黑体" w:hAnsi="黑体" w:eastAsia="黑体" w:cs="黑体"/>
                <w:b/>
                <w:szCs w:val="21"/>
              </w:rPr>
              <w:t>安捷伦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38" w:type="dxa"/>
            <w:tcBorders>
              <w:bottom w:val="single" w:color="auto" w:sz="4" w:space="0"/>
            </w:tcBorders>
            <w:vAlign w:val="center"/>
          </w:tcPr>
          <w:p>
            <w:pPr>
              <w:spacing w:line="400" w:lineRule="atLeast"/>
              <w:contextualSpacing/>
              <w:jc w:val="center"/>
              <w:rPr>
                <w:rFonts w:hint="eastAsia" w:ascii="黑体" w:hAnsi="黑体" w:eastAsia="黑体" w:cs="黑体"/>
                <w:sz w:val="22"/>
                <w:szCs w:val="22"/>
              </w:rPr>
            </w:pPr>
            <w:r>
              <w:rPr>
                <w:rFonts w:hint="eastAsia" w:ascii="黑体" w:hAnsi="黑体" w:eastAsia="黑体" w:cs="黑体"/>
                <w:sz w:val="22"/>
                <w:szCs w:val="22"/>
              </w:rPr>
              <w:t>型号</w:t>
            </w:r>
          </w:p>
        </w:tc>
        <w:tc>
          <w:tcPr>
            <w:tcW w:w="1172" w:type="dxa"/>
            <w:tcBorders>
              <w:bottom w:val="single" w:color="auto" w:sz="4" w:space="0"/>
            </w:tcBorders>
            <w:vAlign w:val="center"/>
          </w:tcPr>
          <w:p>
            <w:pPr>
              <w:spacing w:line="400" w:lineRule="atLeast"/>
              <w:contextualSpacing/>
              <w:jc w:val="center"/>
              <w:rPr>
                <w:rFonts w:hint="eastAsia" w:ascii="黑体" w:hAnsi="黑体" w:eastAsia="黑体" w:cs="黑体"/>
                <w:sz w:val="22"/>
                <w:szCs w:val="22"/>
              </w:rPr>
            </w:pPr>
            <w:r>
              <w:rPr>
                <w:rFonts w:hint="eastAsia" w:ascii="黑体" w:hAnsi="黑体" w:eastAsia="黑体" w:cs="黑体"/>
                <w:sz w:val="22"/>
                <w:szCs w:val="22"/>
              </w:rPr>
              <w:t>型号</w:t>
            </w:r>
          </w:p>
        </w:tc>
        <w:tc>
          <w:tcPr>
            <w:tcW w:w="2627" w:type="dxa"/>
            <w:tcBorders>
              <w:bottom w:val="single" w:color="auto" w:sz="4" w:space="0"/>
            </w:tcBorders>
            <w:vAlign w:val="center"/>
          </w:tcPr>
          <w:p>
            <w:pPr>
              <w:spacing w:line="400" w:lineRule="atLeast"/>
              <w:contextualSpacing/>
              <w:jc w:val="center"/>
              <w:rPr>
                <w:rFonts w:hint="eastAsia" w:ascii="黑体" w:hAnsi="黑体" w:eastAsia="黑体" w:cs="黑体"/>
                <w:sz w:val="22"/>
                <w:szCs w:val="22"/>
              </w:rPr>
            </w:pPr>
            <w:r>
              <w:rPr>
                <w:rFonts w:hint="eastAsia" w:ascii="黑体" w:hAnsi="黑体" w:eastAsia="黑体" w:cs="黑体"/>
                <w:sz w:val="22"/>
                <w:szCs w:val="22"/>
              </w:rPr>
              <w:t>ACQUITY QDa</w:t>
            </w:r>
          </w:p>
        </w:tc>
        <w:tc>
          <w:tcPr>
            <w:tcW w:w="2627" w:type="dxa"/>
            <w:tcBorders>
              <w:bottom w:val="single" w:color="auto" w:sz="4" w:space="0"/>
            </w:tcBorders>
            <w:vAlign w:val="center"/>
          </w:tcPr>
          <w:p>
            <w:pPr>
              <w:spacing w:line="400" w:lineRule="atLeast"/>
              <w:contextualSpacing/>
              <w:jc w:val="center"/>
              <w:rPr>
                <w:rFonts w:hint="eastAsia" w:ascii="黑体" w:hAnsi="黑体" w:eastAsia="黑体" w:cs="黑体"/>
                <w:sz w:val="22"/>
                <w:szCs w:val="22"/>
              </w:rPr>
            </w:pPr>
            <w:r>
              <w:rPr>
                <w:rFonts w:hint="eastAsia" w:ascii="黑体" w:hAnsi="黑体" w:eastAsia="黑体" w:cs="黑体"/>
                <w:sz w:val="22"/>
                <w:szCs w:val="22"/>
              </w:rPr>
              <w:t>LCMS-2020</w:t>
            </w:r>
          </w:p>
        </w:tc>
        <w:tc>
          <w:tcPr>
            <w:tcW w:w="2406" w:type="dxa"/>
            <w:tcBorders>
              <w:bottom w:val="single" w:color="auto" w:sz="4" w:space="0"/>
            </w:tcBorders>
            <w:vAlign w:val="center"/>
          </w:tcPr>
          <w:p>
            <w:pPr>
              <w:spacing w:line="400" w:lineRule="atLeast"/>
              <w:contextualSpacing/>
              <w:jc w:val="center"/>
              <w:rPr>
                <w:rFonts w:hint="eastAsia" w:ascii="黑体" w:hAnsi="黑体" w:eastAsia="黑体" w:cs="黑体"/>
                <w:sz w:val="22"/>
                <w:szCs w:val="22"/>
              </w:rPr>
            </w:pPr>
            <w:r>
              <w:rPr>
                <w:rFonts w:hint="eastAsia" w:ascii="黑体" w:hAnsi="黑体" w:eastAsia="黑体" w:cs="黑体"/>
                <w:sz w:val="22"/>
                <w:szCs w:val="22"/>
              </w:rPr>
              <w:t>LC/MSD XT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738"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contextualSpacing/>
              <w:jc w:val="center"/>
              <w:textAlignment w:val="auto"/>
              <w:rPr>
                <w:rFonts w:hint="eastAsia" w:ascii="黑体" w:hAnsi="黑体" w:eastAsia="黑体" w:cs="黑体"/>
                <w:sz w:val="22"/>
                <w:szCs w:val="22"/>
              </w:rPr>
            </w:pPr>
            <w:r>
              <w:rPr>
                <w:rFonts w:hint="eastAsia" w:ascii="黑体" w:hAnsi="黑体" w:eastAsia="黑体" w:cs="黑体"/>
                <w:sz w:val="22"/>
                <w:szCs w:val="22"/>
              </w:rPr>
              <w:t>主要性能指标</w:t>
            </w:r>
          </w:p>
        </w:tc>
        <w:tc>
          <w:tcPr>
            <w:tcW w:w="1172"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contextualSpacing/>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Cs w:val="21"/>
              </w:rPr>
              <w:t>质量分析器</w:t>
            </w:r>
          </w:p>
        </w:tc>
        <w:tc>
          <w:tcPr>
            <w:tcW w:w="2627"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right="72"/>
              <w:contextualSpacing/>
              <w:textAlignment w:val="auto"/>
              <w:rPr>
                <w:rFonts w:hint="eastAsia" w:ascii="仿宋_GB2312" w:hAnsi="仿宋_GB2312" w:eastAsia="仿宋_GB2312" w:cs="仿宋_GB2312"/>
                <w:sz w:val="22"/>
                <w:szCs w:val="22"/>
              </w:rPr>
            </w:pPr>
            <w:r>
              <w:rPr>
                <w:rFonts w:hint="eastAsia" w:ascii="仿宋_GB2312" w:hAnsi="仿宋_GB2312" w:eastAsia="仿宋_GB2312" w:cs="仿宋_GB2312"/>
                <w:szCs w:val="21"/>
              </w:rPr>
              <w:t>带有预杆的金属钼双曲线四极杆</w:t>
            </w:r>
          </w:p>
        </w:tc>
        <w:tc>
          <w:tcPr>
            <w:tcW w:w="2627"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contextualSpacing/>
              <w:textAlignment w:val="auto"/>
              <w:rPr>
                <w:rFonts w:hint="eastAsia" w:ascii="仿宋_GB2312" w:hAnsi="仿宋_GB2312" w:eastAsia="仿宋_GB2312" w:cs="仿宋_GB2312"/>
                <w:sz w:val="22"/>
                <w:szCs w:val="22"/>
              </w:rPr>
            </w:pPr>
            <w:r>
              <w:rPr>
                <w:rFonts w:hint="eastAsia" w:ascii="仿宋_GB2312" w:hAnsi="仿宋_GB2312" w:eastAsia="仿宋_GB2312" w:cs="仿宋_GB2312"/>
                <w:szCs w:val="21"/>
              </w:rPr>
              <w:t>带有预杆的金属钼四极杆</w:t>
            </w:r>
          </w:p>
        </w:tc>
        <w:tc>
          <w:tcPr>
            <w:tcW w:w="2406"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contextualSpacing/>
              <w:textAlignment w:val="auto"/>
              <w:rPr>
                <w:rFonts w:hint="eastAsia" w:ascii="仿宋_GB2312" w:hAnsi="仿宋_GB2312" w:eastAsia="仿宋_GB2312" w:cs="仿宋_GB2312"/>
                <w:sz w:val="22"/>
                <w:szCs w:val="22"/>
              </w:rPr>
            </w:pPr>
            <w:r>
              <w:rPr>
                <w:rFonts w:hint="eastAsia" w:ascii="仿宋_GB2312" w:hAnsi="仿宋_GB2312" w:eastAsia="仿宋_GB2312" w:cs="仿宋_GB2312"/>
                <w:szCs w:val="21"/>
              </w:rPr>
              <w:t>石英镀金四极杆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8"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contextualSpacing/>
              <w:jc w:val="center"/>
              <w:textAlignment w:val="auto"/>
              <w:rPr>
                <w:rFonts w:hint="eastAsia" w:ascii="黑体" w:hAnsi="黑体" w:eastAsia="黑体" w:cs="黑体"/>
                <w:sz w:val="22"/>
                <w:szCs w:val="22"/>
              </w:rPr>
            </w:pPr>
          </w:p>
        </w:tc>
        <w:tc>
          <w:tcPr>
            <w:tcW w:w="1172"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hAnsi="宋体"/>
                <w:szCs w:val="21"/>
              </w:rPr>
            </w:pPr>
            <w:r>
              <w:rPr>
                <w:rFonts w:ascii="宋体" w:hAnsi="宋体" w:cs="Arial"/>
                <w:szCs w:val="18"/>
              </w:rPr>
              <w:t>SIM</w:t>
            </w:r>
            <w:r>
              <w:rPr>
                <w:rFonts w:hint="eastAsia" w:ascii="仿宋_GB2312" w:hAnsi="仿宋_GB2312" w:eastAsia="仿宋_GB2312" w:cs="仿宋_GB2312"/>
                <w:szCs w:val="21"/>
              </w:rPr>
              <w:t>模式灵敏度</w:t>
            </w:r>
          </w:p>
          <w:p>
            <w:pPr>
              <w:keepNext w:val="0"/>
              <w:keepLines w:val="0"/>
              <w:pageBreakBefore w:val="0"/>
              <w:widowControl w:val="0"/>
              <w:kinsoku/>
              <w:wordWrap/>
              <w:overflowPunct/>
              <w:topLinePunct w:val="0"/>
              <w:autoSpaceDE/>
              <w:autoSpaceDN/>
              <w:bidi w:val="0"/>
              <w:adjustRightInd/>
              <w:snapToGrid/>
              <w:spacing w:line="280" w:lineRule="exact"/>
              <w:contextualSpacing/>
              <w:jc w:val="center"/>
              <w:textAlignment w:val="auto"/>
              <w:rPr>
                <w:rFonts w:ascii="宋体" w:hAnsi="宋体"/>
                <w:sz w:val="22"/>
                <w:szCs w:val="22"/>
              </w:rPr>
            </w:pPr>
            <w:r>
              <w:rPr>
                <w:rFonts w:hint="eastAsia" w:ascii="宋体" w:hAnsi="宋体"/>
                <w:szCs w:val="21"/>
              </w:rPr>
              <w:t>ESI+</w:t>
            </w:r>
          </w:p>
        </w:tc>
        <w:tc>
          <w:tcPr>
            <w:tcW w:w="2627"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hAnsi="宋体"/>
                <w:szCs w:val="21"/>
              </w:rPr>
            </w:pPr>
            <w:r>
              <w:rPr>
                <w:rFonts w:ascii="宋体" w:hAnsi="宋体"/>
                <w:szCs w:val="21"/>
              </w:rPr>
              <w:t>Reserpine 1pg</w:t>
            </w:r>
          </w:p>
          <w:p>
            <w:pPr>
              <w:keepNext w:val="0"/>
              <w:keepLines w:val="0"/>
              <w:pageBreakBefore w:val="0"/>
              <w:widowControl w:val="0"/>
              <w:kinsoku/>
              <w:wordWrap/>
              <w:overflowPunct/>
              <w:topLinePunct w:val="0"/>
              <w:autoSpaceDE/>
              <w:autoSpaceDN/>
              <w:bidi w:val="0"/>
              <w:adjustRightInd/>
              <w:snapToGrid/>
              <w:spacing w:line="280" w:lineRule="exact"/>
              <w:contextualSpacing/>
              <w:jc w:val="center"/>
              <w:textAlignment w:val="auto"/>
              <w:rPr>
                <w:rFonts w:ascii="宋体" w:hAnsi="宋体"/>
                <w:sz w:val="22"/>
                <w:szCs w:val="22"/>
              </w:rPr>
            </w:pPr>
            <w:r>
              <w:rPr>
                <w:rFonts w:ascii="宋体" w:hAnsi="宋体"/>
                <w:szCs w:val="21"/>
              </w:rPr>
              <w:t>S/N(RMS)&gt;350</w:t>
            </w:r>
          </w:p>
        </w:tc>
        <w:tc>
          <w:tcPr>
            <w:tcW w:w="2627"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hAnsi="宋体"/>
                <w:szCs w:val="21"/>
              </w:rPr>
            </w:pPr>
            <w:r>
              <w:rPr>
                <w:rFonts w:ascii="宋体" w:hAnsi="宋体"/>
                <w:szCs w:val="21"/>
              </w:rPr>
              <w:t>Reserpine 1pg</w:t>
            </w:r>
          </w:p>
          <w:p>
            <w:pPr>
              <w:keepNext w:val="0"/>
              <w:keepLines w:val="0"/>
              <w:pageBreakBefore w:val="0"/>
              <w:widowControl w:val="0"/>
              <w:kinsoku/>
              <w:wordWrap/>
              <w:overflowPunct/>
              <w:topLinePunct w:val="0"/>
              <w:autoSpaceDE/>
              <w:autoSpaceDN/>
              <w:bidi w:val="0"/>
              <w:adjustRightInd/>
              <w:snapToGrid/>
              <w:spacing w:line="280" w:lineRule="exact"/>
              <w:contextualSpacing/>
              <w:jc w:val="center"/>
              <w:textAlignment w:val="auto"/>
              <w:rPr>
                <w:rFonts w:ascii="宋体" w:hAnsi="宋体"/>
                <w:sz w:val="22"/>
                <w:szCs w:val="22"/>
              </w:rPr>
            </w:pPr>
            <w:r>
              <w:rPr>
                <w:rFonts w:ascii="宋体" w:hAnsi="宋体"/>
                <w:szCs w:val="21"/>
              </w:rPr>
              <w:t>S/N(RMS)&gt;150</w:t>
            </w:r>
          </w:p>
        </w:tc>
        <w:tc>
          <w:tcPr>
            <w:tcW w:w="2406"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hAnsi="宋体"/>
                <w:szCs w:val="21"/>
                <w:lang w:val="pt-BR"/>
              </w:rPr>
            </w:pPr>
            <w:r>
              <w:rPr>
                <w:rFonts w:ascii="宋体" w:hAnsi="宋体"/>
                <w:szCs w:val="21"/>
                <w:lang w:val="pt-BR"/>
              </w:rPr>
              <w:t>Reserpine 1pg</w:t>
            </w:r>
          </w:p>
          <w:p>
            <w:pPr>
              <w:keepNext w:val="0"/>
              <w:keepLines w:val="0"/>
              <w:pageBreakBefore w:val="0"/>
              <w:widowControl w:val="0"/>
              <w:kinsoku/>
              <w:wordWrap/>
              <w:overflowPunct/>
              <w:topLinePunct w:val="0"/>
              <w:autoSpaceDE/>
              <w:autoSpaceDN/>
              <w:bidi w:val="0"/>
              <w:adjustRightInd/>
              <w:snapToGrid/>
              <w:spacing w:line="280" w:lineRule="exact"/>
              <w:contextualSpacing/>
              <w:jc w:val="center"/>
              <w:textAlignment w:val="auto"/>
              <w:rPr>
                <w:rFonts w:ascii="宋体" w:hAnsi="宋体"/>
                <w:sz w:val="22"/>
                <w:szCs w:val="22"/>
              </w:rPr>
            </w:pPr>
            <w:r>
              <w:rPr>
                <w:rFonts w:ascii="宋体" w:hAnsi="宋体"/>
                <w:szCs w:val="21"/>
                <w:lang w:val="pt-BR"/>
              </w:rPr>
              <w:t>S/N(RMS)&gt;3</w:t>
            </w:r>
            <w:r>
              <w:rPr>
                <w:rFonts w:hint="eastAsia" w:ascii="宋体" w:hAnsi="宋体"/>
                <w:szCs w:val="21"/>
                <w:lang w:val="pt-BR"/>
              </w:rPr>
              <w:t>0</w:t>
            </w:r>
            <w:r>
              <w:rPr>
                <w:rFonts w:ascii="宋体" w:hAnsi="宋体"/>
                <w:szCs w:val="21"/>
                <w:lang w:val="pt-B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8"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contextualSpacing/>
              <w:jc w:val="center"/>
              <w:textAlignment w:val="auto"/>
              <w:rPr>
                <w:rFonts w:hint="eastAsia" w:ascii="黑体" w:hAnsi="黑体" w:eastAsia="黑体" w:cs="黑体"/>
                <w:sz w:val="22"/>
                <w:szCs w:val="22"/>
              </w:rPr>
            </w:pPr>
          </w:p>
        </w:tc>
        <w:tc>
          <w:tcPr>
            <w:tcW w:w="1172"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hAnsi="宋体"/>
                <w:szCs w:val="21"/>
              </w:rPr>
            </w:pPr>
            <w:r>
              <w:rPr>
                <w:rFonts w:ascii="宋体" w:hAnsi="宋体" w:cs="Arial"/>
                <w:szCs w:val="18"/>
              </w:rPr>
              <w:t>S</w:t>
            </w:r>
            <w:r>
              <w:rPr>
                <w:rFonts w:hint="eastAsia" w:ascii="宋体" w:hAnsi="宋体" w:cs="Arial"/>
                <w:szCs w:val="18"/>
              </w:rPr>
              <w:t>CAN</w:t>
            </w:r>
            <w:r>
              <w:rPr>
                <w:rFonts w:hint="eastAsia" w:ascii="仿宋_GB2312" w:hAnsi="仿宋_GB2312" w:eastAsia="仿宋_GB2312" w:cs="仿宋_GB2312"/>
                <w:szCs w:val="21"/>
              </w:rPr>
              <w:t>模式灵敏度</w:t>
            </w:r>
          </w:p>
        </w:tc>
        <w:tc>
          <w:tcPr>
            <w:tcW w:w="2627"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hAnsi="宋体"/>
                <w:szCs w:val="21"/>
                <w:lang w:val="pt-BR"/>
              </w:rPr>
            </w:pPr>
            <w:r>
              <w:rPr>
                <w:rFonts w:ascii="宋体" w:hAnsi="宋体"/>
                <w:szCs w:val="21"/>
                <w:lang w:val="pt-BR"/>
              </w:rPr>
              <w:t xml:space="preserve">Reserpine </w:t>
            </w:r>
            <w:r>
              <w:rPr>
                <w:rFonts w:hint="eastAsia" w:ascii="宋体" w:hAnsi="宋体"/>
                <w:szCs w:val="21"/>
                <w:lang w:val="pt-BR"/>
              </w:rPr>
              <w:t>50</w:t>
            </w:r>
            <w:r>
              <w:rPr>
                <w:rFonts w:ascii="宋体" w:hAnsi="宋体"/>
                <w:szCs w:val="21"/>
                <w:lang w:val="pt-BR"/>
              </w:rPr>
              <w:t>pg</w:t>
            </w:r>
          </w:p>
          <w:p>
            <w:pPr>
              <w:keepNext w:val="0"/>
              <w:keepLines w:val="0"/>
              <w:pageBreakBefore w:val="0"/>
              <w:widowControl w:val="0"/>
              <w:kinsoku/>
              <w:wordWrap/>
              <w:overflowPunct/>
              <w:topLinePunct w:val="0"/>
              <w:autoSpaceDE/>
              <w:autoSpaceDN/>
              <w:bidi w:val="0"/>
              <w:adjustRightInd/>
              <w:snapToGrid/>
              <w:spacing w:line="280" w:lineRule="exact"/>
              <w:contextualSpacing/>
              <w:jc w:val="center"/>
              <w:textAlignment w:val="auto"/>
              <w:rPr>
                <w:rFonts w:ascii="宋体" w:hAnsi="宋体"/>
                <w:sz w:val="22"/>
                <w:szCs w:val="22"/>
              </w:rPr>
            </w:pPr>
            <w:r>
              <w:rPr>
                <w:rFonts w:ascii="宋体" w:hAnsi="宋体"/>
                <w:szCs w:val="21"/>
                <w:lang w:val="pt-BR"/>
              </w:rPr>
              <w:t>S/N(RMS)&gt;3</w:t>
            </w:r>
            <w:r>
              <w:rPr>
                <w:rFonts w:hint="eastAsia" w:ascii="宋体" w:hAnsi="宋体"/>
                <w:szCs w:val="21"/>
                <w:lang w:val="pt-BR"/>
              </w:rPr>
              <w:t>5</w:t>
            </w:r>
            <w:r>
              <w:rPr>
                <w:rFonts w:ascii="宋体" w:hAnsi="宋体"/>
                <w:szCs w:val="21"/>
                <w:lang w:val="pt-BR"/>
              </w:rPr>
              <w:t>0</w:t>
            </w:r>
          </w:p>
        </w:tc>
        <w:tc>
          <w:tcPr>
            <w:tcW w:w="2627"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contextualSpacing/>
              <w:jc w:val="center"/>
              <w:textAlignment w:val="auto"/>
              <w:rPr>
                <w:rFonts w:ascii="宋体" w:hAnsi="宋体"/>
                <w:sz w:val="22"/>
                <w:szCs w:val="22"/>
              </w:rPr>
            </w:pPr>
            <w:r>
              <w:rPr>
                <w:rFonts w:hint="eastAsia" w:ascii="宋体" w:hAnsi="宋体"/>
                <w:szCs w:val="21"/>
                <w:lang w:val="pt-BR"/>
              </w:rPr>
              <w:t>N/A</w:t>
            </w:r>
          </w:p>
        </w:tc>
        <w:tc>
          <w:tcPr>
            <w:tcW w:w="2406"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hAnsi="宋体"/>
                <w:szCs w:val="21"/>
                <w:lang w:val="pt-BR"/>
              </w:rPr>
            </w:pPr>
            <w:r>
              <w:rPr>
                <w:rFonts w:ascii="宋体" w:hAnsi="宋体"/>
                <w:szCs w:val="21"/>
                <w:lang w:val="pt-BR"/>
              </w:rPr>
              <w:t xml:space="preserve">Reserpine </w:t>
            </w:r>
            <w:r>
              <w:rPr>
                <w:rFonts w:hint="eastAsia" w:ascii="宋体" w:hAnsi="宋体"/>
                <w:szCs w:val="21"/>
                <w:lang w:val="pt-BR"/>
              </w:rPr>
              <w:t>50</w:t>
            </w:r>
            <w:r>
              <w:rPr>
                <w:rFonts w:ascii="宋体" w:hAnsi="宋体"/>
                <w:szCs w:val="21"/>
                <w:lang w:val="pt-BR"/>
              </w:rPr>
              <w:t>pg</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hAnsi="宋体"/>
                <w:sz w:val="22"/>
                <w:szCs w:val="22"/>
              </w:rPr>
            </w:pPr>
            <w:r>
              <w:rPr>
                <w:rFonts w:ascii="宋体" w:hAnsi="宋体"/>
                <w:szCs w:val="21"/>
                <w:lang w:val="pt-BR"/>
              </w:rPr>
              <w:t>S/N(RMS)&gt;1</w:t>
            </w:r>
            <w:r>
              <w:rPr>
                <w:rFonts w:hint="eastAsia" w:ascii="宋体" w:hAnsi="宋体"/>
                <w:szCs w:val="21"/>
                <w:lang w:val="pt-BR"/>
              </w:rPr>
              <w:t>0</w:t>
            </w:r>
            <w:r>
              <w:rPr>
                <w:rFonts w:ascii="宋体" w:hAnsi="宋体"/>
                <w:szCs w:val="21"/>
                <w:lang w:val="pt-B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8"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contextualSpacing/>
              <w:jc w:val="center"/>
              <w:textAlignment w:val="auto"/>
              <w:rPr>
                <w:rFonts w:hint="eastAsia" w:ascii="黑体" w:hAnsi="黑体" w:eastAsia="黑体" w:cs="黑体"/>
                <w:sz w:val="22"/>
                <w:szCs w:val="22"/>
              </w:rPr>
            </w:pPr>
          </w:p>
        </w:tc>
        <w:tc>
          <w:tcPr>
            <w:tcW w:w="1172"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扫描速度</w:t>
            </w:r>
          </w:p>
        </w:tc>
        <w:tc>
          <w:tcPr>
            <w:tcW w:w="2627"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contextualSpacing/>
              <w:jc w:val="center"/>
              <w:textAlignment w:val="auto"/>
              <w:rPr>
                <w:rFonts w:ascii="宋体" w:hAnsi="宋体"/>
                <w:sz w:val="22"/>
                <w:szCs w:val="22"/>
              </w:rPr>
            </w:pPr>
            <w:r>
              <w:rPr>
                <w:rFonts w:hint="eastAsia" w:ascii="宋体" w:hAnsi="宋体"/>
                <w:szCs w:val="21"/>
              </w:rPr>
              <w:t>15,000Da/sec</w:t>
            </w:r>
          </w:p>
        </w:tc>
        <w:tc>
          <w:tcPr>
            <w:tcW w:w="2627"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contextualSpacing/>
              <w:jc w:val="center"/>
              <w:textAlignment w:val="auto"/>
              <w:rPr>
                <w:rFonts w:ascii="宋体" w:hAnsi="宋体"/>
                <w:sz w:val="22"/>
                <w:szCs w:val="22"/>
              </w:rPr>
            </w:pPr>
            <w:r>
              <w:rPr>
                <w:rFonts w:hint="eastAsia" w:ascii="宋体" w:hAnsi="宋体"/>
                <w:szCs w:val="21"/>
              </w:rPr>
              <w:t>1</w:t>
            </w:r>
            <w:r>
              <w:rPr>
                <w:rFonts w:ascii="宋体" w:hAnsi="宋体"/>
                <w:szCs w:val="21"/>
              </w:rPr>
              <w:t>5</w:t>
            </w:r>
            <w:r>
              <w:rPr>
                <w:rFonts w:hint="eastAsia" w:ascii="宋体" w:hAnsi="宋体"/>
                <w:szCs w:val="21"/>
              </w:rPr>
              <w:t>,000Da/sec</w:t>
            </w:r>
          </w:p>
        </w:tc>
        <w:tc>
          <w:tcPr>
            <w:tcW w:w="2406"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contextualSpacing/>
              <w:jc w:val="center"/>
              <w:textAlignment w:val="auto"/>
              <w:rPr>
                <w:rFonts w:ascii="宋体" w:hAnsi="宋体"/>
                <w:sz w:val="22"/>
                <w:szCs w:val="22"/>
              </w:rPr>
            </w:pPr>
            <w:r>
              <w:rPr>
                <w:rFonts w:hint="eastAsia" w:ascii="宋体" w:hAnsi="宋体"/>
                <w:szCs w:val="21"/>
              </w:rPr>
              <w:t>10,</w:t>
            </w:r>
            <w:r>
              <w:rPr>
                <w:rFonts w:ascii="宋体" w:hAnsi="宋体"/>
                <w:szCs w:val="21"/>
              </w:rPr>
              <w:t>4</w:t>
            </w:r>
            <w:r>
              <w:rPr>
                <w:rFonts w:hint="eastAsia" w:ascii="宋体" w:hAnsi="宋体"/>
                <w:szCs w:val="21"/>
              </w:rPr>
              <w:t>00Da/sec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8"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contextualSpacing/>
              <w:jc w:val="center"/>
              <w:textAlignment w:val="auto"/>
              <w:rPr>
                <w:rFonts w:hint="eastAsia" w:ascii="黑体" w:hAnsi="黑体" w:eastAsia="黑体" w:cs="黑体"/>
                <w:sz w:val="22"/>
                <w:szCs w:val="22"/>
              </w:rPr>
            </w:pPr>
          </w:p>
        </w:tc>
        <w:tc>
          <w:tcPr>
            <w:tcW w:w="1172"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正负极性切换时间</w:t>
            </w:r>
          </w:p>
        </w:tc>
        <w:tc>
          <w:tcPr>
            <w:tcW w:w="2627"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contextualSpacing/>
              <w:jc w:val="center"/>
              <w:textAlignment w:val="auto"/>
              <w:rPr>
                <w:rFonts w:ascii="宋体" w:hAnsi="宋体"/>
                <w:sz w:val="22"/>
                <w:szCs w:val="22"/>
              </w:rPr>
            </w:pPr>
            <w:r>
              <w:rPr>
                <w:rFonts w:hint="eastAsia" w:ascii="宋体" w:hAnsi="宋体"/>
                <w:szCs w:val="21"/>
              </w:rPr>
              <w:t>15ms</w:t>
            </w:r>
          </w:p>
        </w:tc>
        <w:tc>
          <w:tcPr>
            <w:tcW w:w="2627"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contextualSpacing/>
              <w:jc w:val="center"/>
              <w:textAlignment w:val="auto"/>
              <w:rPr>
                <w:rFonts w:ascii="宋体" w:hAnsi="宋体"/>
                <w:sz w:val="22"/>
                <w:szCs w:val="22"/>
              </w:rPr>
            </w:pPr>
            <w:bookmarkStart w:id="0" w:name="_GoBack"/>
            <w:bookmarkEnd w:id="0"/>
            <w:r>
              <w:rPr>
                <w:rFonts w:hint="eastAsia" w:ascii="宋体" w:hAnsi="宋体"/>
                <w:szCs w:val="21"/>
              </w:rPr>
              <w:t>20ms</w:t>
            </w:r>
          </w:p>
        </w:tc>
        <w:tc>
          <w:tcPr>
            <w:tcW w:w="2406"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contextualSpacing/>
              <w:jc w:val="center"/>
              <w:textAlignment w:val="auto"/>
              <w:rPr>
                <w:rFonts w:ascii="宋体" w:hAnsi="宋体"/>
                <w:sz w:val="22"/>
                <w:szCs w:val="22"/>
              </w:rPr>
            </w:pPr>
            <w:r>
              <w:rPr>
                <w:rFonts w:ascii="宋体" w:hAnsi="宋体"/>
                <w:szCs w:val="21"/>
              </w:rPr>
              <w:t>3</w:t>
            </w:r>
            <w:r>
              <w:rPr>
                <w:rFonts w:hint="eastAsia" w:ascii="宋体" w:hAnsi="宋体"/>
                <w:szCs w:val="21"/>
              </w:rPr>
              <w:t>0ms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8"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contextualSpacing/>
              <w:jc w:val="center"/>
              <w:textAlignment w:val="auto"/>
              <w:rPr>
                <w:rFonts w:hint="eastAsia" w:ascii="黑体" w:hAnsi="黑体" w:eastAsia="黑体" w:cs="黑体"/>
                <w:sz w:val="22"/>
                <w:szCs w:val="22"/>
              </w:rPr>
            </w:pPr>
          </w:p>
        </w:tc>
        <w:tc>
          <w:tcPr>
            <w:tcW w:w="1172"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质量轴稳定性</w:t>
            </w:r>
          </w:p>
        </w:tc>
        <w:tc>
          <w:tcPr>
            <w:tcW w:w="2627"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contextualSpacing/>
              <w:textAlignment w:val="auto"/>
              <w:rPr>
                <w:rFonts w:ascii="宋体" w:hAnsi="宋体"/>
                <w:sz w:val="22"/>
                <w:szCs w:val="22"/>
              </w:rPr>
            </w:pPr>
            <w:r>
              <w:rPr>
                <w:rFonts w:hint="eastAsia" w:ascii="宋体" w:hAnsi="宋体"/>
                <w:szCs w:val="21"/>
                <w:lang w:val="fr-FR"/>
              </w:rPr>
              <w:t>±</w:t>
            </w:r>
            <w:r>
              <w:rPr>
                <w:rFonts w:ascii="宋体" w:hAnsi="宋体"/>
                <w:szCs w:val="21"/>
                <w:lang w:val="fr-FR"/>
              </w:rPr>
              <w:t>0.</w:t>
            </w:r>
            <w:r>
              <w:rPr>
                <w:rFonts w:hint="eastAsia" w:ascii="宋体" w:hAnsi="宋体"/>
                <w:szCs w:val="21"/>
                <w:lang w:val="fr-FR"/>
              </w:rPr>
              <w:t>1</w:t>
            </w:r>
            <w:r>
              <w:rPr>
                <w:rFonts w:ascii="宋体" w:hAnsi="宋体"/>
                <w:szCs w:val="21"/>
                <w:lang w:val="fr-FR"/>
              </w:rPr>
              <w:t>u/12hours</w:t>
            </w:r>
          </w:p>
        </w:tc>
        <w:tc>
          <w:tcPr>
            <w:tcW w:w="2627"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宋体" w:hAnsi="宋体"/>
                <w:sz w:val="22"/>
                <w:szCs w:val="22"/>
              </w:rPr>
            </w:pPr>
            <w:r>
              <w:rPr>
                <w:rFonts w:hint="eastAsia" w:ascii="宋体" w:hAnsi="宋体"/>
                <w:szCs w:val="21"/>
                <w:lang w:val="fr-FR"/>
              </w:rPr>
              <w:t>±</w:t>
            </w:r>
            <w:r>
              <w:rPr>
                <w:rFonts w:ascii="宋体" w:hAnsi="宋体"/>
                <w:szCs w:val="21"/>
                <w:lang w:val="fr-FR"/>
              </w:rPr>
              <w:t>0.1u/24hours</w:t>
            </w:r>
          </w:p>
        </w:tc>
        <w:tc>
          <w:tcPr>
            <w:tcW w:w="2406"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宋体" w:hAnsi="宋体"/>
                <w:sz w:val="22"/>
                <w:szCs w:val="22"/>
              </w:rPr>
            </w:pPr>
            <w:r>
              <w:rPr>
                <w:rFonts w:hint="eastAsia" w:ascii="宋体" w:hAnsi="宋体"/>
                <w:szCs w:val="21"/>
              </w:rPr>
              <w:t>±</w:t>
            </w:r>
            <w:r>
              <w:rPr>
                <w:rFonts w:ascii="宋体" w:hAnsi="宋体"/>
                <w:szCs w:val="21"/>
              </w:rPr>
              <w:t>0.1u/</w:t>
            </w:r>
            <w:r>
              <w:rPr>
                <w:rFonts w:hint="eastAsia" w:ascii="宋体" w:hAnsi="宋体"/>
                <w:szCs w:val="21"/>
              </w:rPr>
              <w:t>8</w:t>
            </w:r>
            <w:r>
              <w:rPr>
                <w:rFonts w:ascii="宋体" w:hAnsi="宋体"/>
                <w:szCs w:val="21"/>
              </w:rPr>
              <w:t>hours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738"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contextualSpacing/>
              <w:jc w:val="center"/>
              <w:textAlignment w:val="auto"/>
              <w:rPr>
                <w:rFonts w:hint="eastAsia" w:ascii="黑体" w:hAnsi="黑体" w:eastAsia="黑体" w:cs="黑体"/>
                <w:sz w:val="22"/>
                <w:szCs w:val="22"/>
              </w:rPr>
            </w:pPr>
          </w:p>
        </w:tc>
        <w:tc>
          <w:tcPr>
            <w:tcW w:w="1172"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离子化模式</w:t>
            </w:r>
          </w:p>
        </w:tc>
        <w:tc>
          <w:tcPr>
            <w:tcW w:w="2627"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hAnsi="宋体"/>
                <w:szCs w:val="21"/>
              </w:rPr>
            </w:pPr>
            <w:r>
              <w:rPr>
                <w:rFonts w:ascii="宋体" w:hAnsi="宋体"/>
                <w:szCs w:val="21"/>
              </w:rPr>
              <w:t>ESI</w:t>
            </w:r>
          </w:p>
          <w:p>
            <w:pPr>
              <w:keepNext w:val="0"/>
              <w:keepLines w:val="0"/>
              <w:pageBreakBefore w:val="0"/>
              <w:widowControl w:val="0"/>
              <w:kinsoku/>
              <w:wordWrap/>
              <w:overflowPunct/>
              <w:topLinePunct w:val="0"/>
              <w:autoSpaceDE/>
              <w:autoSpaceDN/>
              <w:bidi w:val="0"/>
              <w:adjustRightInd/>
              <w:snapToGrid/>
              <w:spacing w:line="280" w:lineRule="exact"/>
              <w:contextualSpacing/>
              <w:textAlignment w:val="auto"/>
              <w:rPr>
                <w:rFonts w:ascii="宋体" w:hAnsi="宋体"/>
                <w:sz w:val="22"/>
                <w:szCs w:val="22"/>
              </w:rPr>
            </w:pPr>
            <w:r>
              <w:rPr>
                <w:rFonts w:ascii="宋体" w:hAnsi="宋体"/>
                <w:szCs w:val="21"/>
              </w:rPr>
              <w:t xml:space="preserve">APCI, DUIS </w:t>
            </w:r>
            <w:r>
              <w:rPr>
                <w:rFonts w:hint="eastAsia" w:ascii="仿宋_GB2312" w:hAnsi="仿宋_GB2312" w:eastAsia="仿宋_GB2312" w:cs="仿宋_GB2312"/>
                <w:szCs w:val="21"/>
              </w:rPr>
              <w:t>(可选)</w:t>
            </w:r>
          </w:p>
        </w:tc>
        <w:tc>
          <w:tcPr>
            <w:tcW w:w="2627"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hAnsi="宋体"/>
                <w:szCs w:val="21"/>
              </w:rPr>
            </w:pPr>
            <w:r>
              <w:rPr>
                <w:rFonts w:ascii="宋体" w:hAnsi="宋体"/>
                <w:szCs w:val="21"/>
              </w:rPr>
              <w:t>ESCi</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hAnsi="宋体"/>
                <w:color w:val="000000"/>
                <w:sz w:val="22"/>
                <w:szCs w:val="22"/>
              </w:rPr>
            </w:pPr>
            <w:r>
              <w:rPr>
                <w:rFonts w:ascii="宋体" w:hAnsi="宋体"/>
                <w:szCs w:val="21"/>
              </w:rPr>
              <w:t xml:space="preserve">APCI, APPI </w:t>
            </w:r>
            <w:r>
              <w:rPr>
                <w:rFonts w:hint="eastAsia" w:ascii="仿宋_GB2312" w:hAnsi="仿宋_GB2312" w:eastAsia="仿宋_GB2312" w:cs="仿宋_GB2312"/>
                <w:szCs w:val="21"/>
              </w:rPr>
              <w:t>(可选)</w:t>
            </w:r>
          </w:p>
        </w:tc>
        <w:tc>
          <w:tcPr>
            <w:tcW w:w="2406"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hAnsi="宋体"/>
                <w:szCs w:val="21"/>
                <w:lang w:val="it-IT"/>
              </w:rPr>
            </w:pPr>
            <w:r>
              <w:rPr>
                <w:rFonts w:ascii="宋体" w:hAnsi="宋体"/>
                <w:szCs w:val="21"/>
                <w:lang w:val="it-IT"/>
              </w:rPr>
              <w:t>ESI</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Cs w:val="21"/>
                <w:lang w:val="it-IT"/>
              </w:rPr>
            </w:pPr>
            <w:r>
              <w:rPr>
                <w:rFonts w:ascii="宋体" w:hAnsi="宋体"/>
                <w:szCs w:val="21"/>
                <w:lang w:val="it-IT"/>
              </w:rPr>
              <w:t xml:space="preserve">ESI/APCI </w:t>
            </w:r>
            <w:r>
              <w:rPr>
                <w:rFonts w:hint="eastAsia" w:ascii="仿宋_GB2312" w:hAnsi="仿宋_GB2312" w:eastAsia="仿宋_GB2312" w:cs="仿宋_GB2312"/>
                <w:szCs w:val="21"/>
                <w:lang w:val="it-IT"/>
              </w:rPr>
              <w:t>(可选)</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hAnsi="宋体"/>
                <w:color w:val="000000"/>
                <w:sz w:val="22"/>
                <w:szCs w:val="22"/>
              </w:rPr>
            </w:pPr>
            <w:r>
              <w:rPr>
                <w:rFonts w:ascii="宋体" w:hAnsi="宋体"/>
                <w:szCs w:val="21"/>
                <w:lang w:val="it-IT"/>
              </w:rPr>
              <w:t>APCI, APPI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8"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contextualSpacing/>
              <w:jc w:val="center"/>
              <w:textAlignment w:val="auto"/>
              <w:rPr>
                <w:rFonts w:hint="eastAsia" w:ascii="黑体" w:hAnsi="黑体" w:eastAsia="黑体" w:cs="黑体"/>
                <w:sz w:val="22"/>
                <w:szCs w:val="22"/>
              </w:rPr>
            </w:pPr>
          </w:p>
        </w:tc>
        <w:tc>
          <w:tcPr>
            <w:tcW w:w="1172"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设置同时分析的离子化参数</w:t>
            </w:r>
          </w:p>
        </w:tc>
        <w:tc>
          <w:tcPr>
            <w:tcW w:w="2627"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可以（最多 64 个参数）</w:t>
            </w:r>
          </w:p>
        </w:tc>
        <w:tc>
          <w:tcPr>
            <w:tcW w:w="2627"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可以（最多 32 个参数）</w:t>
            </w:r>
          </w:p>
        </w:tc>
        <w:tc>
          <w:tcPr>
            <w:tcW w:w="2406"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可以（最多 4 个参数）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8" w:type="dxa"/>
            <w:vAlign w:val="center"/>
          </w:tcPr>
          <w:p>
            <w:pPr>
              <w:keepNext w:val="0"/>
              <w:keepLines w:val="0"/>
              <w:pageBreakBefore w:val="0"/>
              <w:widowControl w:val="0"/>
              <w:kinsoku/>
              <w:wordWrap/>
              <w:overflowPunct/>
              <w:topLinePunct w:val="0"/>
              <w:autoSpaceDE/>
              <w:autoSpaceDN/>
              <w:bidi w:val="0"/>
              <w:adjustRightInd/>
              <w:snapToGrid/>
              <w:spacing w:line="280" w:lineRule="exact"/>
              <w:contextualSpacing/>
              <w:jc w:val="center"/>
              <w:textAlignment w:val="auto"/>
              <w:rPr>
                <w:rFonts w:hint="eastAsia" w:ascii="黑体" w:hAnsi="黑体" w:eastAsia="黑体" w:cs="黑体"/>
                <w:sz w:val="22"/>
                <w:szCs w:val="22"/>
              </w:rPr>
            </w:pPr>
            <w:r>
              <w:rPr>
                <w:rFonts w:hint="eastAsia" w:ascii="黑体" w:hAnsi="黑体" w:eastAsia="黑体" w:cs="黑体"/>
                <w:sz w:val="22"/>
                <w:szCs w:val="22"/>
              </w:rPr>
              <w:t>市场情况</w:t>
            </w:r>
          </w:p>
        </w:tc>
        <w:tc>
          <w:tcPr>
            <w:tcW w:w="1172"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市场占有率</w:t>
            </w:r>
          </w:p>
        </w:tc>
        <w:tc>
          <w:tcPr>
            <w:tcW w:w="2627"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高</w:t>
            </w:r>
          </w:p>
        </w:tc>
        <w:tc>
          <w:tcPr>
            <w:tcW w:w="2627"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低</w:t>
            </w:r>
          </w:p>
        </w:tc>
        <w:tc>
          <w:tcPr>
            <w:tcW w:w="2406"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8"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contextualSpacing/>
              <w:jc w:val="center"/>
              <w:textAlignment w:val="auto"/>
              <w:rPr>
                <w:rFonts w:hint="eastAsia" w:ascii="黑体" w:hAnsi="黑体" w:eastAsia="黑体" w:cs="黑体"/>
                <w:sz w:val="22"/>
                <w:szCs w:val="22"/>
              </w:rPr>
            </w:pPr>
            <w:r>
              <w:rPr>
                <w:rFonts w:hint="eastAsia" w:ascii="黑体" w:hAnsi="黑体" w:eastAsia="黑体" w:cs="黑体"/>
                <w:sz w:val="22"/>
                <w:szCs w:val="22"/>
              </w:rPr>
              <w:t>售后</w:t>
            </w:r>
          </w:p>
          <w:p>
            <w:pPr>
              <w:keepNext w:val="0"/>
              <w:keepLines w:val="0"/>
              <w:pageBreakBefore w:val="0"/>
              <w:widowControl w:val="0"/>
              <w:kinsoku/>
              <w:wordWrap/>
              <w:overflowPunct/>
              <w:topLinePunct w:val="0"/>
              <w:autoSpaceDE/>
              <w:autoSpaceDN/>
              <w:bidi w:val="0"/>
              <w:adjustRightInd/>
              <w:snapToGrid/>
              <w:spacing w:line="280" w:lineRule="exact"/>
              <w:contextualSpacing/>
              <w:jc w:val="center"/>
              <w:textAlignment w:val="auto"/>
              <w:rPr>
                <w:rFonts w:hint="eastAsia" w:ascii="黑体" w:hAnsi="黑体" w:eastAsia="黑体" w:cs="黑体"/>
                <w:sz w:val="22"/>
                <w:szCs w:val="22"/>
              </w:rPr>
            </w:pPr>
            <w:r>
              <w:rPr>
                <w:rFonts w:hint="eastAsia" w:ascii="黑体" w:hAnsi="黑体" w:eastAsia="黑体" w:cs="黑体"/>
                <w:sz w:val="22"/>
                <w:szCs w:val="22"/>
              </w:rPr>
              <w:t>服务</w:t>
            </w:r>
          </w:p>
        </w:tc>
        <w:tc>
          <w:tcPr>
            <w:tcW w:w="1172"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技术支持</w:t>
            </w:r>
          </w:p>
        </w:tc>
        <w:tc>
          <w:tcPr>
            <w:tcW w:w="2627"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高水平应用工程师提供专业的技术支持。</w:t>
            </w:r>
          </w:p>
        </w:tc>
        <w:tc>
          <w:tcPr>
            <w:tcW w:w="2627"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技术支持弱</w:t>
            </w:r>
          </w:p>
        </w:tc>
        <w:tc>
          <w:tcPr>
            <w:tcW w:w="2406"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高水平应用工程师提供专业的技术支持。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8" w:type="dxa"/>
            <w:vMerge w:val="continue"/>
            <w:tcBorders>
              <w:bottom w:val="single" w:color="auto" w:sz="4" w:space="0"/>
            </w:tcBorders>
            <w:vAlign w:val="center"/>
          </w:tcPr>
          <w:p>
            <w:pPr>
              <w:jc w:val="center"/>
              <w:rPr>
                <w:rFonts w:ascii="宋体" w:hAnsi="宋体"/>
                <w:b/>
                <w:bCs/>
                <w:kern w:val="0"/>
                <w:sz w:val="22"/>
                <w:szCs w:val="22"/>
              </w:rPr>
            </w:pPr>
          </w:p>
        </w:tc>
        <w:tc>
          <w:tcPr>
            <w:tcW w:w="1172"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售后服务人员情况</w:t>
            </w:r>
          </w:p>
        </w:tc>
        <w:tc>
          <w:tcPr>
            <w:tcW w:w="2627"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专业的售后技术服务团队</w:t>
            </w:r>
          </w:p>
        </w:tc>
        <w:tc>
          <w:tcPr>
            <w:tcW w:w="2627"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少</w:t>
            </w:r>
          </w:p>
        </w:tc>
        <w:tc>
          <w:tcPr>
            <w:tcW w:w="2406"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专业的售后技术服务团队</w:t>
            </w:r>
          </w:p>
        </w:tc>
      </w:tr>
    </w:tbl>
    <w:p>
      <w:pPr>
        <w:snapToGrid w:val="0"/>
        <w:spacing w:line="54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国产同类产品情况：国产设备功能不足、无法解决实际问题，无法达到很好的重复性效果。</w:t>
      </w:r>
    </w:p>
    <w:p>
      <w:pPr>
        <w:snapToGrid w:val="0"/>
        <w:spacing w:line="540" w:lineRule="exact"/>
        <w:ind w:firstLine="640" w:firstLineChars="200"/>
        <w:jc w:val="left"/>
        <w:rPr>
          <w:rFonts w:hint="eastAsia" w:ascii="黑体" w:hAnsi="黑体" w:eastAsia="黑体" w:cs="黑体"/>
          <w:color w:val="000000"/>
          <w:sz w:val="32"/>
          <w:szCs w:val="32"/>
        </w:rPr>
      </w:pPr>
      <w:r>
        <w:rPr>
          <w:rFonts w:hint="eastAsia" w:ascii="黑体" w:hAnsi="黑体" w:eastAsia="黑体" w:cs="黑体"/>
          <w:color w:val="000000"/>
          <w:sz w:val="32"/>
          <w:szCs w:val="32"/>
        </w:rPr>
        <w:t>四、条件准备情况</w:t>
      </w:r>
    </w:p>
    <w:p>
      <w:pPr>
        <w:snapToGrid w:val="0"/>
        <w:spacing w:line="54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实验室具备电（220V单相电源）、通风（排气系统）、实验平台（尺寸大于50 x 55 cm, 可以承32Kg以上的设备）等安装条件。</w:t>
      </w:r>
    </w:p>
    <w:p>
      <w:pPr>
        <w:snapToGrid w:val="0"/>
        <w:spacing w:line="540" w:lineRule="exact"/>
        <w:ind w:firstLine="640" w:firstLineChars="200"/>
        <w:jc w:val="left"/>
        <w:rPr>
          <w:rFonts w:hint="eastAsia" w:ascii="黑体" w:hAnsi="黑体" w:eastAsia="黑体" w:cs="黑体"/>
          <w:color w:val="000000"/>
          <w:sz w:val="32"/>
          <w:szCs w:val="32"/>
        </w:rPr>
      </w:pPr>
      <w:r>
        <w:rPr>
          <w:rFonts w:hint="eastAsia" w:ascii="黑体" w:hAnsi="黑体" w:eastAsia="黑体" w:cs="黑体"/>
          <w:color w:val="000000"/>
          <w:sz w:val="32"/>
          <w:szCs w:val="32"/>
        </w:rPr>
        <w:t>五、可能存在的安全性问题</w:t>
      </w:r>
    </w:p>
    <w:p>
      <w:pPr>
        <w:snapToGrid w:val="0"/>
        <w:spacing w:line="54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该设备使用过程无放射物产生，可能产生少量废气可由通风净化系统处理，不会产生安全性问题。</w:t>
      </w:r>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p>
                </w:txbxContent>
              </v:textbox>
            </v:shape>
          </w:pict>
        </mc:Fallback>
      </mc:AlternateContent>
    </w:r>
    <w:r>
      <mc:AlternateContent>
        <mc:Choice Requires="wps">
          <w:drawing>
            <wp:anchor distT="0" distB="0" distL="0" distR="0" simplePos="0" relativeHeight="251659264" behindDoc="1" locked="0" layoutInCell="1" allowOverlap="1">
              <wp:simplePos x="0" y="0"/>
              <wp:positionH relativeFrom="page">
                <wp:posOffset>3839210</wp:posOffset>
              </wp:positionH>
              <wp:positionV relativeFrom="page">
                <wp:posOffset>10211435</wp:posOffset>
              </wp:positionV>
              <wp:extent cx="187325" cy="77470"/>
              <wp:effectExtent l="0" t="0" r="0" b="0"/>
              <wp:wrapNone/>
              <wp:docPr id="10" name="Shape 10"/>
              <wp:cNvGraphicFramePr/>
              <a:graphic xmlns:a="http://schemas.openxmlformats.org/drawingml/2006/main">
                <a:graphicData uri="http://schemas.microsoft.com/office/word/2010/wordprocessingShape">
                  <wps:wsp>
                    <wps:cNvSpPr txBox="1"/>
                    <wps:spPr>
                      <a:xfrm>
                        <a:off x="0" y="0"/>
                        <a:ext cx="187325" cy="77470"/>
                      </a:xfrm>
                      <a:prstGeom prst="rect">
                        <a:avLst/>
                      </a:prstGeom>
                      <a:noFill/>
                    </wps:spPr>
                    <wps:txbx>
                      <w:txbxContent>
                        <w:p>
                          <w:pPr>
                            <w:pStyle w:val="11"/>
                            <w:jc w:val="left"/>
                            <w:rPr>
                              <w:sz w:val="18"/>
                              <w:szCs w:val="18"/>
                            </w:rPr>
                          </w:pPr>
                        </w:p>
                      </w:txbxContent>
                    </wps:txbx>
                    <wps:bodyPr wrap="none" lIns="0" tIns="0" rIns="0" bIns="0">
                      <a:spAutoFit/>
                    </wps:bodyPr>
                  </wps:wsp>
                </a:graphicData>
              </a:graphic>
            </wp:anchor>
          </w:drawing>
        </mc:Choice>
        <mc:Fallback>
          <w:pict>
            <v:shape id="Shape 10" o:spid="_x0000_s1026" o:spt="202" type="#_x0000_t202" style="position:absolute;left:0pt;margin-left:302.3pt;margin-top:804.05pt;height:6.1pt;width:14.75pt;mso-position-horizontal-relative:page;mso-position-vertical-relative:page;mso-wrap-style:none;z-index:-251657216;mso-width-relative:page;mso-height-relative:page;" filled="f" stroked="f" coordsize="21600,21600" o:gfxdata="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KL9aJ2AAA&#10;AA0BAAAPAAAAAAAAAAEAIAAAACIAAABkcnMvZG93bnJldi54bWxQSwECFAAUAAAACACHTuJAuqom&#10;dawBAABwAwAADgAAAAAAAAABACAAAAAnAQAAZHJzL2Uyb0RvYy54bWxQSwUGAAAAAAYABgBZAQAA&#10;RQUAAAAA&#10;">
              <v:fill on="f" focussize="0,0"/>
              <v:stroke on="f"/>
              <v:imagedata o:title=""/>
              <o:lock v:ext="edit" aspectratio="f"/>
              <v:textbox inset="0mm,0mm,0mm,0mm" style="mso-fit-shape-to-text:t;">
                <w:txbxContent>
                  <w:p>
                    <w:pPr>
                      <w:pStyle w:val="11"/>
                      <w:jc w:val="left"/>
                      <w:rPr>
                        <w:sz w:val="18"/>
                        <w:szCs w:val="18"/>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C84A8F"/>
    <w:rsid w:val="0013546C"/>
    <w:rsid w:val="00237A5B"/>
    <w:rsid w:val="005F2AFA"/>
    <w:rsid w:val="00B211F0"/>
    <w:rsid w:val="00D32E19"/>
    <w:rsid w:val="00EB7E60"/>
    <w:rsid w:val="01EA0E83"/>
    <w:rsid w:val="0301396B"/>
    <w:rsid w:val="05154E61"/>
    <w:rsid w:val="05E76E48"/>
    <w:rsid w:val="0ACD3951"/>
    <w:rsid w:val="0C2107A9"/>
    <w:rsid w:val="0CF462EF"/>
    <w:rsid w:val="0E1F1149"/>
    <w:rsid w:val="108F4BD1"/>
    <w:rsid w:val="11C95F9C"/>
    <w:rsid w:val="1209283C"/>
    <w:rsid w:val="130628D8"/>
    <w:rsid w:val="1D37200B"/>
    <w:rsid w:val="1E592455"/>
    <w:rsid w:val="1FBB33A3"/>
    <w:rsid w:val="21562C7C"/>
    <w:rsid w:val="23201794"/>
    <w:rsid w:val="240E07A9"/>
    <w:rsid w:val="251D242F"/>
    <w:rsid w:val="257B5FDE"/>
    <w:rsid w:val="25C44658"/>
    <w:rsid w:val="29D46E34"/>
    <w:rsid w:val="2B2160A9"/>
    <w:rsid w:val="2B724B56"/>
    <w:rsid w:val="2C5509C3"/>
    <w:rsid w:val="2D3C7AA9"/>
    <w:rsid w:val="2E6863BB"/>
    <w:rsid w:val="2E7F7CB6"/>
    <w:rsid w:val="2F8805B4"/>
    <w:rsid w:val="30C84A8F"/>
    <w:rsid w:val="3522139B"/>
    <w:rsid w:val="35BA60CE"/>
    <w:rsid w:val="369E4A52"/>
    <w:rsid w:val="39C33C94"/>
    <w:rsid w:val="3B497FEF"/>
    <w:rsid w:val="3C9A5CBB"/>
    <w:rsid w:val="3D0535B4"/>
    <w:rsid w:val="40C33A32"/>
    <w:rsid w:val="43617533"/>
    <w:rsid w:val="47947ED7"/>
    <w:rsid w:val="483E65AE"/>
    <w:rsid w:val="4BFE6267"/>
    <w:rsid w:val="4C2A6435"/>
    <w:rsid w:val="51542485"/>
    <w:rsid w:val="51B34883"/>
    <w:rsid w:val="536D782E"/>
    <w:rsid w:val="55591C47"/>
    <w:rsid w:val="564927D4"/>
    <w:rsid w:val="57D85FAF"/>
    <w:rsid w:val="57E31F1C"/>
    <w:rsid w:val="5F131BD1"/>
    <w:rsid w:val="67C9107F"/>
    <w:rsid w:val="68290AC6"/>
    <w:rsid w:val="709541F4"/>
    <w:rsid w:val="70FF1E55"/>
    <w:rsid w:val="74543DB5"/>
    <w:rsid w:val="77B27D81"/>
    <w:rsid w:val="7BD5403F"/>
    <w:rsid w:val="7BFF2E69"/>
    <w:rsid w:val="7E4379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4"/>
    <w:qFormat/>
    <w:uiPriority w:val="0"/>
    <w:pPr>
      <w:tabs>
        <w:tab w:val="center" w:pos="4153"/>
        <w:tab w:val="right" w:pos="8306"/>
      </w:tabs>
      <w:snapToGrid w:val="0"/>
      <w:jc w:val="left"/>
    </w:pPr>
    <w:rPr>
      <w:sz w:val="18"/>
      <w:szCs w:val="18"/>
    </w:rPr>
  </w:style>
  <w:style w:type="paragraph" w:styleId="3">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0"/>
    <w:pPr>
      <w:widowControl/>
      <w:spacing w:before="100" w:beforeAutospacing="1" w:after="100" w:afterAutospacing="1"/>
      <w:jc w:val="left"/>
    </w:pPr>
    <w:rPr>
      <w:rFonts w:ascii="宋体" w:hAnsi="宋体" w:eastAsia="宋体" w:cs="宋体"/>
      <w:kern w:val="0"/>
      <w:sz w:val="24"/>
    </w:rPr>
  </w:style>
  <w:style w:type="paragraph" w:styleId="7">
    <w:name w:val="List Paragraph"/>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8">
    <w:name w:val="Heading #4|1"/>
    <w:basedOn w:val="1"/>
    <w:qFormat/>
    <w:uiPriority w:val="0"/>
    <w:pPr>
      <w:spacing w:after="70" w:line="414" w:lineRule="exact"/>
      <w:outlineLvl w:val="3"/>
    </w:pPr>
    <w:rPr>
      <w:rFonts w:ascii="宋体" w:hAnsi="宋体" w:eastAsia="宋体" w:cs="宋体"/>
      <w:sz w:val="28"/>
      <w:szCs w:val="28"/>
      <w:lang w:val="zh-TW" w:eastAsia="zh-TW" w:bidi="zh-TW"/>
    </w:rPr>
  </w:style>
  <w:style w:type="paragraph" w:customStyle="1" w:styleId="9">
    <w:name w:val="Body text|1"/>
    <w:basedOn w:val="1"/>
    <w:qFormat/>
    <w:uiPriority w:val="0"/>
    <w:pPr>
      <w:spacing w:after="300" w:line="454" w:lineRule="auto"/>
      <w:ind w:firstLine="400"/>
    </w:pPr>
    <w:rPr>
      <w:rFonts w:ascii="宋体" w:hAnsi="宋体" w:eastAsia="宋体" w:cs="宋体"/>
      <w:sz w:val="22"/>
      <w:szCs w:val="22"/>
      <w:lang w:val="zh-TW" w:eastAsia="zh-TW" w:bidi="zh-TW"/>
    </w:rPr>
  </w:style>
  <w:style w:type="paragraph" w:customStyle="1" w:styleId="10">
    <w:name w:val="Other|1"/>
    <w:basedOn w:val="1"/>
    <w:qFormat/>
    <w:uiPriority w:val="0"/>
    <w:pPr>
      <w:spacing w:after="300" w:line="454" w:lineRule="auto"/>
      <w:ind w:firstLine="400"/>
    </w:pPr>
    <w:rPr>
      <w:rFonts w:ascii="宋体" w:hAnsi="宋体" w:eastAsia="宋体" w:cs="宋体"/>
      <w:sz w:val="22"/>
      <w:szCs w:val="22"/>
      <w:lang w:val="zh-TW" w:eastAsia="zh-TW" w:bidi="zh-TW"/>
    </w:rPr>
  </w:style>
  <w:style w:type="paragraph" w:customStyle="1" w:styleId="11">
    <w:name w:val="Header or footer|2"/>
    <w:basedOn w:val="1"/>
    <w:qFormat/>
    <w:uiPriority w:val="0"/>
    <w:rPr>
      <w:sz w:val="20"/>
      <w:szCs w:val="20"/>
      <w:lang w:val="zh-TW" w:eastAsia="zh-TW" w:bidi="zh-TW"/>
    </w:rPr>
  </w:style>
  <w:style w:type="paragraph" w:customStyle="1" w:styleId="12">
    <w:name w:val="Body text|2"/>
    <w:basedOn w:val="1"/>
    <w:qFormat/>
    <w:uiPriority w:val="0"/>
    <w:pPr>
      <w:spacing w:line="736" w:lineRule="exact"/>
      <w:ind w:left="340" w:hanging="340"/>
    </w:pPr>
    <w:rPr>
      <w:rFonts w:ascii="宋体" w:hAnsi="宋体" w:eastAsia="宋体" w:cs="宋体"/>
      <w:sz w:val="28"/>
      <w:szCs w:val="28"/>
      <w:lang w:val="zh-TW" w:eastAsia="zh-TW" w:bidi="zh-TW"/>
    </w:rPr>
  </w:style>
  <w:style w:type="character" w:customStyle="1" w:styleId="13">
    <w:name w:val="页眉 字符"/>
    <w:basedOn w:val="6"/>
    <w:link w:val="3"/>
    <w:uiPriority w:val="0"/>
    <w:rPr>
      <w:rFonts w:asciiTheme="minorHAnsi" w:hAnsiTheme="minorHAnsi" w:eastAsiaTheme="minorEastAsia" w:cstheme="minorBidi"/>
      <w:kern w:val="2"/>
      <w:sz w:val="18"/>
      <w:szCs w:val="18"/>
    </w:rPr>
  </w:style>
  <w:style w:type="character" w:customStyle="1" w:styleId="14">
    <w:name w:val="页脚 字符"/>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254</Words>
  <Characters>1449</Characters>
  <Lines>12</Lines>
  <Paragraphs>3</Paragraphs>
  <TotalTime>30</TotalTime>
  <ScaleCrop>false</ScaleCrop>
  <LinksUpToDate>false</LinksUpToDate>
  <CharactersWithSpaces>1700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2021-12-03T01:19:00Z</dcterms:created>
  <dc:creator>阿融</dc:creator>
  <cp:lastModifiedBy>阿融</cp:lastModifiedBy>
  <dcterms:modified xsi:type="dcterms:W3CDTF">2021-12-06T04:18:36Z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62737996527D4D749885DEC555C236FB</vt:lpwstr>
  </property>
</Properties>
</file>